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2F2F2" w:themeColor="background1" w:themeShade="F2"/>
  <w:body>
    <w:p w14:paraId="295EE65B" w14:textId="77777777" w:rsidR="00A377B9" w:rsidRPr="003253C4" w:rsidRDefault="00270AFE" w:rsidP="00A377B9">
      <w:pPr>
        <w:pStyle w:val="Default"/>
        <w:rPr>
          <w:rFonts w:ascii="Arial" w:hAnsi="Arial" w:cs="Arial"/>
          <w:b/>
          <w:sz w:val="22"/>
          <w:szCs w:val="22"/>
        </w:rPr>
      </w:pPr>
      <w:r w:rsidRPr="003A7ACF">
        <w:rPr>
          <w:rFonts w:cs="Arial"/>
          <w:noProof/>
          <w:lang w:eastAsia="en-GB"/>
        </w:rPr>
        <w:drawing>
          <wp:inline distT="0" distB="0" distL="0" distR="0" wp14:anchorId="17CB5748" wp14:editId="6EE02CC9">
            <wp:extent cx="6688292" cy="142435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RS Generic Header 2013 (No Word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71339" cy="1442040"/>
                    </a:xfrm>
                    <a:prstGeom prst="rect">
                      <a:avLst/>
                    </a:prstGeom>
                  </pic:spPr>
                </pic:pic>
              </a:graphicData>
            </a:graphic>
          </wp:inline>
        </w:drawing>
      </w:r>
    </w:p>
    <w:p w14:paraId="38B80CFF" w14:textId="77777777" w:rsidR="00A377B9" w:rsidRPr="003253C4" w:rsidRDefault="00A377B9" w:rsidP="001132D6">
      <w:pPr>
        <w:pStyle w:val="Default"/>
        <w:jc w:val="center"/>
        <w:rPr>
          <w:rFonts w:ascii="Arial" w:hAnsi="Arial" w:cs="Arial"/>
          <w:b/>
          <w:sz w:val="22"/>
          <w:szCs w:val="22"/>
        </w:rPr>
      </w:pPr>
      <w:r w:rsidRPr="003253C4">
        <w:rPr>
          <w:rFonts w:ascii="Arial" w:hAnsi="Arial" w:cs="Arial"/>
          <w:b/>
          <w:sz w:val="22"/>
          <w:szCs w:val="22"/>
        </w:rPr>
        <w:t>East Sussex Fire and Rescue Service</w:t>
      </w:r>
    </w:p>
    <w:p w14:paraId="07D7679C" w14:textId="05B5E6F2" w:rsidR="00A377B9" w:rsidRDefault="00A377B9" w:rsidP="001132D6">
      <w:pPr>
        <w:pStyle w:val="Default"/>
        <w:jc w:val="center"/>
        <w:rPr>
          <w:rFonts w:ascii="Arial" w:hAnsi="Arial" w:cs="Arial"/>
          <w:b/>
          <w:bCs/>
          <w:sz w:val="22"/>
          <w:szCs w:val="22"/>
        </w:rPr>
      </w:pPr>
      <w:r w:rsidRPr="003253C4">
        <w:rPr>
          <w:rFonts w:ascii="Arial" w:hAnsi="Arial" w:cs="Arial"/>
          <w:b/>
          <w:bCs/>
          <w:sz w:val="22"/>
          <w:szCs w:val="22"/>
        </w:rPr>
        <w:t xml:space="preserve">Gender </w:t>
      </w:r>
      <w:r w:rsidR="0012462C">
        <w:rPr>
          <w:rFonts w:ascii="Arial" w:hAnsi="Arial" w:cs="Arial"/>
          <w:b/>
          <w:bCs/>
          <w:sz w:val="22"/>
          <w:szCs w:val="22"/>
        </w:rPr>
        <w:t>Pay Gap R</w:t>
      </w:r>
      <w:r w:rsidRPr="003253C4">
        <w:rPr>
          <w:rFonts w:ascii="Arial" w:hAnsi="Arial" w:cs="Arial"/>
          <w:b/>
          <w:bCs/>
          <w:sz w:val="22"/>
          <w:szCs w:val="22"/>
        </w:rPr>
        <w:t>eporting</w:t>
      </w:r>
      <w:r w:rsidR="0012462C">
        <w:rPr>
          <w:rFonts w:ascii="Arial" w:hAnsi="Arial" w:cs="Arial"/>
          <w:b/>
          <w:bCs/>
          <w:sz w:val="22"/>
          <w:szCs w:val="22"/>
        </w:rPr>
        <w:t xml:space="preserve"> –</w:t>
      </w:r>
      <w:r w:rsidR="00E07881">
        <w:rPr>
          <w:rFonts w:ascii="Arial" w:hAnsi="Arial" w:cs="Arial"/>
          <w:b/>
          <w:bCs/>
          <w:sz w:val="22"/>
          <w:szCs w:val="22"/>
        </w:rPr>
        <w:t xml:space="preserve"> </w:t>
      </w:r>
      <w:r w:rsidR="001415A7">
        <w:rPr>
          <w:rFonts w:ascii="Arial" w:hAnsi="Arial" w:cs="Arial"/>
          <w:b/>
          <w:bCs/>
          <w:sz w:val="22"/>
          <w:szCs w:val="22"/>
        </w:rPr>
        <w:t>March 202</w:t>
      </w:r>
      <w:r w:rsidR="008A2746">
        <w:rPr>
          <w:rFonts w:ascii="Arial" w:hAnsi="Arial" w:cs="Arial"/>
          <w:b/>
          <w:bCs/>
          <w:sz w:val="22"/>
          <w:szCs w:val="22"/>
        </w:rPr>
        <w:t>1</w:t>
      </w:r>
    </w:p>
    <w:p w14:paraId="6DAE7E65" w14:textId="77777777" w:rsidR="00851917" w:rsidRPr="003253C4" w:rsidRDefault="00851917" w:rsidP="00853792">
      <w:pPr>
        <w:pStyle w:val="Default"/>
        <w:jc w:val="both"/>
        <w:rPr>
          <w:rFonts w:ascii="Arial" w:hAnsi="Arial" w:cs="Arial"/>
          <w:sz w:val="22"/>
          <w:szCs w:val="22"/>
        </w:rPr>
      </w:pPr>
    </w:p>
    <w:p w14:paraId="5A33E7C5" w14:textId="77777777" w:rsidR="00851917" w:rsidRDefault="006D2536" w:rsidP="00853792">
      <w:pPr>
        <w:autoSpaceDE w:val="0"/>
        <w:autoSpaceDN w:val="0"/>
        <w:adjustRightInd w:val="0"/>
        <w:jc w:val="both"/>
        <w:rPr>
          <w:rFonts w:cs="Arial"/>
          <w:b/>
          <w:szCs w:val="22"/>
        </w:rPr>
      </w:pPr>
      <w:r>
        <w:rPr>
          <w:rFonts w:cs="Arial"/>
          <w:b/>
          <w:szCs w:val="22"/>
        </w:rPr>
        <w:t>Background</w:t>
      </w:r>
    </w:p>
    <w:p w14:paraId="144F4CCE" w14:textId="77777777" w:rsidR="00851917" w:rsidRDefault="00851917" w:rsidP="00853792">
      <w:pPr>
        <w:autoSpaceDE w:val="0"/>
        <w:autoSpaceDN w:val="0"/>
        <w:adjustRightInd w:val="0"/>
        <w:jc w:val="both"/>
        <w:rPr>
          <w:rFonts w:cs="Arial"/>
          <w:b/>
          <w:szCs w:val="22"/>
        </w:rPr>
      </w:pPr>
    </w:p>
    <w:p w14:paraId="41424551" w14:textId="1A1FDA40" w:rsidR="0064482F" w:rsidRPr="0064482F" w:rsidRDefault="00851917" w:rsidP="0064482F">
      <w:pPr>
        <w:pStyle w:val="NormalWeb"/>
        <w:jc w:val="both"/>
        <w:rPr>
          <w:rFonts w:ascii="Arial" w:eastAsia="Times New Roman" w:hAnsi="Arial" w:cs="Arial"/>
          <w:sz w:val="22"/>
          <w:szCs w:val="22"/>
          <w:lang w:eastAsia="en-GB"/>
        </w:rPr>
      </w:pPr>
      <w:r w:rsidRPr="0064482F">
        <w:rPr>
          <w:rFonts w:ascii="Arial" w:hAnsi="Arial" w:cs="Arial"/>
          <w:sz w:val="22"/>
          <w:szCs w:val="22"/>
        </w:rPr>
        <w:t>The Gender P</w:t>
      </w:r>
      <w:r w:rsidR="00A377B9" w:rsidRPr="0064482F">
        <w:rPr>
          <w:rFonts w:ascii="Arial" w:hAnsi="Arial" w:cs="Arial"/>
          <w:sz w:val="22"/>
          <w:szCs w:val="22"/>
        </w:rPr>
        <w:t xml:space="preserve">ay </w:t>
      </w:r>
      <w:r w:rsidRPr="0064482F">
        <w:rPr>
          <w:rFonts w:ascii="Arial" w:hAnsi="Arial" w:cs="Arial"/>
          <w:sz w:val="22"/>
          <w:szCs w:val="22"/>
        </w:rPr>
        <w:t>G</w:t>
      </w:r>
      <w:r w:rsidR="00A377B9" w:rsidRPr="0064482F">
        <w:rPr>
          <w:rFonts w:ascii="Arial" w:hAnsi="Arial" w:cs="Arial"/>
          <w:sz w:val="22"/>
          <w:szCs w:val="22"/>
        </w:rPr>
        <w:t xml:space="preserve">ap </w:t>
      </w:r>
      <w:r w:rsidR="00DE34DD">
        <w:rPr>
          <w:rFonts w:ascii="Arial" w:hAnsi="Arial" w:cs="Arial"/>
          <w:sz w:val="22"/>
          <w:szCs w:val="22"/>
        </w:rPr>
        <w:t xml:space="preserve">regulations </w:t>
      </w:r>
      <w:r w:rsidRPr="0064482F">
        <w:rPr>
          <w:rFonts w:ascii="Arial" w:hAnsi="Arial" w:cs="Arial"/>
          <w:sz w:val="22"/>
          <w:szCs w:val="22"/>
        </w:rPr>
        <w:t>were introduced in 2017</w:t>
      </w:r>
      <w:r w:rsidRPr="0064482F">
        <w:rPr>
          <w:rFonts w:ascii="Arial" w:hAnsi="Arial" w:cs="Arial"/>
          <w:szCs w:val="22"/>
        </w:rPr>
        <w:t xml:space="preserve">. </w:t>
      </w:r>
      <w:r w:rsidR="0064482F" w:rsidRPr="0064482F">
        <w:rPr>
          <w:rFonts w:ascii="Arial" w:hAnsi="Arial" w:cs="Arial"/>
          <w:sz w:val="22"/>
          <w:szCs w:val="22"/>
        </w:rPr>
        <w:t>G</w:t>
      </w:r>
      <w:r w:rsidR="0064482F" w:rsidRPr="0064482F">
        <w:rPr>
          <w:rFonts w:ascii="Arial" w:eastAsia="Times New Roman" w:hAnsi="Arial" w:cs="Arial"/>
          <w:sz w:val="22"/>
          <w:szCs w:val="22"/>
          <w:lang w:eastAsia="en-GB"/>
        </w:rPr>
        <w:t xml:space="preserve">ender pay gap calculations </w:t>
      </w:r>
      <w:r w:rsidR="00DE34DD">
        <w:rPr>
          <w:rFonts w:ascii="Arial" w:eastAsia="Times New Roman" w:hAnsi="Arial" w:cs="Arial"/>
          <w:sz w:val="22"/>
          <w:szCs w:val="22"/>
          <w:lang w:eastAsia="en-GB"/>
        </w:rPr>
        <w:t>are</w:t>
      </w:r>
      <w:r w:rsidR="0064482F" w:rsidRPr="0064482F">
        <w:rPr>
          <w:rFonts w:ascii="Arial" w:eastAsia="Times New Roman" w:hAnsi="Arial" w:cs="Arial"/>
          <w:sz w:val="22"/>
          <w:szCs w:val="22"/>
          <w:lang w:eastAsia="en-GB"/>
        </w:rPr>
        <w:t xml:space="preserve"> based on </w:t>
      </w:r>
      <w:r w:rsidR="003D6EFA">
        <w:rPr>
          <w:rFonts w:ascii="Arial" w:eastAsia="Times New Roman" w:hAnsi="Arial" w:cs="Arial"/>
          <w:sz w:val="22"/>
          <w:szCs w:val="22"/>
          <w:lang w:eastAsia="en-GB"/>
        </w:rPr>
        <w:t>a snapshot date -</w:t>
      </w:r>
      <w:r w:rsidR="0064482F" w:rsidRPr="0064482F">
        <w:rPr>
          <w:rFonts w:ascii="Arial" w:eastAsia="Times New Roman" w:hAnsi="Arial" w:cs="Arial"/>
          <w:sz w:val="22"/>
          <w:szCs w:val="22"/>
          <w:lang w:eastAsia="en-GB"/>
        </w:rPr>
        <w:t xml:space="preserve"> for public sector organisations </w:t>
      </w:r>
      <w:r w:rsidR="003D6EFA">
        <w:rPr>
          <w:rFonts w:ascii="Arial" w:eastAsia="Times New Roman" w:hAnsi="Arial" w:cs="Arial"/>
          <w:sz w:val="22"/>
          <w:szCs w:val="22"/>
          <w:lang w:eastAsia="en-GB"/>
        </w:rPr>
        <w:t xml:space="preserve">this </w:t>
      </w:r>
      <w:r w:rsidR="0064482F" w:rsidRPr="0064482F">
        <w:rPr>
          <w:rFonts w:ascii="Arial" w:eastAsia="Times New Roman" w:hAnsi="Arial" w:cs="Arial"/>
          <w:sz w:val="22"/>
          <w:szCs w:val="22"/>
          <w:lang w:eastAsia="en-GB"/>
        </w:rPr>
        <w:t>is 31st March each year.</w:t>
      </w:r>
    </w:p>
    <w:p w14:paraId="2669FD08" w14:textId="77777777" w:rsidR="0064482F" w:rsidRPr="0064482F" w:rsidRDefault="0064482F" w:rsidP="00853792">
      <w:pPr>
        <w:autoSpaceDE w:val="0"/>
        <w:autoSpaceDN w:val="0"/>
        <w:adjustRightInd w:val="0"/>
        <w:jc w:val="both"/>
        <w:rPr>
          <w:rFonts w:cs="Arial"/>
          <w:szCs w:val="22"/>
        </w:rPr>
      </w:pPr>
    </w:p>
    <w:p w14:paraId="4B1CF61F" w14:textId="33F28AFA" w:rsidR="00235037" w:rsidRPr="001415A7" w:rsidRDefault="00851917" w:rsidP="0064482F">
      <w:pPr>
        <w:autoSpaceDE w:val="0"/>
        <w:autoSpaceDN w:val="0"/>
        <w:adjustRightInd w:val="0"/>
        <w:jc w:val="both"/>
        <w:rPr>
          <w:rFonts w:cs="Arial"/>
          <w:color w:val="FF0000"/>
          <w:szCs w:val="22"/>
        </w:rPr>
      </w:pPr>
      <w:r w:rsidRPr="0064482F">
        <w:rPr>
          <w:rFonts w:cs="Arial"/>
          <w:szCs w:val="22"/>
        </w:rPr>
        <w:t>Under the Public Sector Equality Duty, public sector organisations must publish annual workforce information</w:t>
      </w:r>
      <w:r w:rsidR="00FE0A1C" w:rsidRPr="0064482F">
        <w:rPr>
          <w:rFonts w:cs="Arial"/>
          <w:szCs w:val="22"/>
        </w:rPr>
        <w:t xml:space="preserve">. </w:t>
      </w:r>
      <w:r w:rsidRPr="0064482F">
        <w:rPr>
          <w:rFonts w:cs="Arial"/>
          <w:szCs w:val="22"/>
        </w:rPr>
        <w:t xml:space="preserve">This data is </w:t>
      </w:r>
      <w:r w:rsidR="00DE34DD">
        <w:rPr>
          <w:rFonts w:cs="Arial"/>
          <w:szCs w:val="22"/>
        </w:rPr>
        <w:t>in addition</w:t>
      </w:r>
      <w:r w:rsidR="00344E29">
        <w:rPr>
          <w:rFonts w:cs="Arial"/>
          <w:szCs w:val="22"/>
        </w:rPr>
        <w:t xml:space="preserve"> to this and should be </w:t>
      </w:r>
      <w:r w:rsidRPr="0064482F">
        <w:rPr>
          <w:rFonts w:cs="Arial"/>
          <w:szCs w:val="22"/>
        </w:rPr>
        <w:t xml:space="preserve">used to ensure that </w:t>
      </w:r>
      <w:r w:rsidR="001132D6" w:rsidRPr="0064482F">
        <w:rPr>
          <w:rFonts w:cs="Arial"/>
          <w:szCs w:val="22"/>
        </w:rPr>
        <w:t>work is undertaken to narrow any gaps</w:t>
      </w:r>
      <w:r w:rsidRPr="0064482F">
        <w:rPr>
          <w:rFonts w:cs="Arial"/>
          <w:szCs w:val="22"/>
        </w:rPr>
        <w:t xml:space="preserve"> and identif</w:t>
      </w:r>
      <w:r w:rsidR="0064482F" w:rsidRPr="0064482F">
        <w:rPr>
          <w:rFonts w:cs="Arial"/>
          <w:szCs w:val="22"/>
        </w:rPr>
        <w:t>y</w:t>
      </w:r>
      <w:r w:rsidR="00344E29">
        <w:rPr>
          <w:rFonts w:cs="Arial"/>
          <w:szCs w:val="22"/>
        </w:rPr>
        <w:t xml:space="preserve"> gender</w:t>
      </w:r>
      <w:r w:rsidR="0064482F" w:rsidRPr="0064482F">
        <w:rPr>
          <w:rFonts w:cs="Arial"/>
          <w:szCs w:val="22"/>
        </w:rPr>
        <w:t xml:space="preserve"> inequality in the workplace.</w:t>
      </w:r>
    </w:p>
    <w:p w14:paraId="311AD16A" w14:textId="77777777" w:rsidR="0064482F" w:rsidRDefault="0064482F" w:rsidP="0064482F">
      <w:pPr>
        <w:autoSpaceDE w:val="0"/>
        <w:autoSpaceDN w:val="0"/>
        <w:adjustRightInd w:val="0"/>
        <w:jc w:val="both"/>
        <w:rPr>
          <w:rFonts w:ascii="Verdana" w:eastAsia="Times New Roman" w:hAnsi="Verdana"/>
          <w:color w:val="000000"/>
          <w:sz w:val="19"/>
          <w:szCs w:val="19"/>
          <w:lang w:eastAsia="en-GB"/>
        </w:rPr>
      </w:pPr>
    </w:p>
    <w:p w14:paraId="6CE0944A" w14:textId="77777777" w:rsidR="0064482F" w:rsidRPr="00344E29" w:rsidRDefault="00344E29" w:rsidP="0064482F">
      <w:pPr>
        <w:autoSpaceDE w:val="0"/>
        <w:autoSpaceDN w:val="0"/>
        <w:adjustRightInd w:val="0"/>
        <w:jc w:val="both"/>
        <w:rPr>
          <w:rFonts w:eastAsia="Times New Roman" w:cs="Arial"/>
          <w:color w:val="000000"/>
          <w:szCs w:val="22"/>
          <w:lang w:eastAsia="en-GB"/>
        </w:rPr>
      </w:pPr>
      <w:r w:rsidRPr="00344E29">
        <w:rPr>
          <w:rFonts w:eastAsia="Times New Roman" w:cs="Arial"/>
          <w:color w:val="000000"/>
          <w:szCs w:val="22"/>
          <w:lang w:eastAsia="en-GB"/>
        </w:rPr>
        <w:t>Gender Pay Gap should not be confused with e</w:t>
      </w:r>
      <w:r w:rsidR="0064482F" w:rsidRPr="0064482F">
        <w:rPr>
          <w:rFonts w:eastAsia="Times New Roman" w:cs="Arial"/>
          <w:color w:val="000000"/>
          <w:szCs w:val="22"/>
          <w:lang w:eastAsia="en-GB"/>
        </w:rPr>
        <w:t>qual pay</w:t>
      </w:r>
      <w:r w:rsidRPr="00344E29">
        <w:rPr>
          <w:rFonts w:eastAsia="Times New Roman" w:cs="Arial"/>
          <w:color w:val="000000"/>
          <w:szCs w:val="22"/>
          <w:lang w:eastAsia="en-GB"/>
        </w:rPr>
        <w:t>.</w:t>
      </w:r>
      <w:r w:rsidR="0064482F" w:rsidRPr="0064482F">
        <w:rPr>
          <w:rFonts w:eastAsia="Times New Roman" w:cs="Arial"/>
          <w:color w:val="000000"/>
          <w:szCs w:val="22"/>
          <w:lang w:eastAsia="en-GB"/>
        </w:rPr>
        <w:t xml:space="preserve"> </w:t>
      </w:r>
      <w:r w:rsidRPr="0064482F">
        <w:rPr>
          <w:rFonts w:eastAsia="Times New Roman" w:cs="Arial"/>
          <w:color w:val="000000"/>
          <w:szCs w:val="22"/>
          <w:lang w:eastAsia="en-GB"/>
        </w:rPr>
        <w:t>The gender pay gap shows the </w:t>
      </w:r>
      <w:r w:rsidRPr="00344E29">
        <w:rPr>
          <w:rFonts w:eastAsia="Times New Roman" w:cs="Arial"/>
          <w:bCs/>
          <w:color w:val="000000"/>
          <w:szCs w:val="22"/>
          <w:lang w:eastAsia="en-GB"/>
        </w:rPr>
        <w:t>difference in the average pay between all men and women in a workforce</w:t>
      </w:r>
      <w:r w:rsidRPr="00344E29">
        <w:rPr>
          <w:rFonts w:eastAsia="Times New Roman" w:cs="Arial"/>
          <w:color w:val="000000"/>
          <w:szCs w:val="22"/>
          <w:lang w:eastAsia="en-GB"/>
        </w:rPr>
        <w:t xml:space="preserve"> whereas equal pay d</w:t>
      </w:r>
      <w:r w:rsidR="0064482F" w:rsidRPr="0064482F">
        <w:rPr>
          <w:rFonts w:eastAsia="Times New Roman" w:cs="Arial"/>
          <w:color w:val="000000"/>
          <w:szCs w:val="22"/>
          <w:lang w:eastAsia="en-GB"/>
        </w:rPr>
        <w:t>eals with the pay </w:t>
      </w:r>
      <w:r w:rsidR="0064482F" w:rsidRPr="00344E29">
        <w:rPr>
          <w:rFonts w:eastAsia="Times New Roman" w:cs="Arial"/>
          <w:bCs/>
          <w:color w:val="000000"/>
          <w:szCs w:val="22"/>
          <w:lang w:eastAsia="en-GB"/>
        </w:rPr>
        <w:t xml:space="preserve">differences between men and women who carry out the same jobs, similar </w:t>
      </w:r>
      <w:proofErr w:type="gramStart"/>
      <w:r w:rsidR="0064482F" w:rsidRPr="00344E29">
        <w:rPr>
          <w:rFonts w:eastAsia="Times New Roman" w:cs="Arial"/>
          <w:bCs/>
          <w:color w:val="000000"/>
          <w:szCs w:val="22"/>
          <w:lang w:eastAsia="en-GB"/>
        </w:rPr>
        <w:t>jobs</w:t>
      </w:r>
      <w:proofErr w:type="gramEnd"/>
      <w:r w:rsidR="0064482F" w:rsidRPr="00344E29">
        <w:rPr>
          <w:rFonts w:eastAsia="Times New Roman" w:cs="Arial"/>
          <w:bCs/>
          <w:color w:val="000000"/>
          <w:szCs w:val="22"/>
          <w:lang w:eastAsia="en-GB"/>
        </w:rPr>
        <w:t xml:space="preserve"> or work of equal value</w:t>
      </w:r>
      <w:r w:rsidR="0064482F" w:rsidRPr="0064482F">
        <w:rPr>
          <w:rFonts w:eastAsia="Times New Roman" w:cs="Arial"/>
          <w:color w:val="000000"/>
          <w:szCs w:val="22"/>
          <w:lang w:eastAsia="en-GB"/>
        </w:rPr>
        <w:t xml:space="preserve">. </w:t>
      </w:r>
    </w:p>
    <w:p w14:paraId="7EA5D157" w14:textId="77777777" w:rsidR="0064482F" w:rsidRPr="0064482F" w:rsidRDefault="0064482F" w:rsidP="0064482F">
      <w:pPr>
        <w:autoSpaceDE w:val="0"/>
        <w:autoSpaceDN w:val="0"/>
        <w:adjustRightInd w:val="0"/>
        <w:jc w:val="both"/>
        <w:rPr>
          <w:rFonts w:cs="Arial"/>
          <w:szCs w:val="22"/>
        </w:rPr>
      </w:pPr>
    </w:p>
    <w:p w14:paraId="3A5CFD8D" w14:textId="77777777" w:rsidR="00A377B9" w:rsidRPr="00E07881" w:rsidRDefault="00A377B9" w:rsidP="00853792">
      <w:pPr>
        <w:autoSpaceDE w:val="0"/>
        <w:autoSpaceDN w:val="0"/>
        <w:adjustRightInd w:val="0"/>
        <w:jc w:val="both"/>
        <w:rPr>
          <w:rFonts w:cs="Arial"/>
          <w:b/>
          <w:bCs/>
          <w:color w:val="000000" w:themeColor="text1"/>
          <w:szCs w:val="22"/>
        </w:rPr>
      </w:pPr>
      <w:r w:rsidRPr="00E07881">
        <w:rPr>
          <w:rFonts w:cs="Arial"/>
          <w:b/>
          <w:bCs/>
          <w:color w:val="000000" w:themeColor="text1"/>
          <w:szCs w:val="22"/>
        </w:rPr>
        <w:t>Who counts as an employee?</w:t>
      </w:r>
    </w:p>
    <w:p w14:paraId="1C77E94F" w14:textId="77777777" w:rsidR="001132D6" w:rsidRPr="008A24B9" w:rsidRDefault="001132D6" w:rsidP="00853792">
      <w:pPr>
        <w:autoSpaceDE w:val="0"/>
        <w:autoSpaceDN w:val="0"/>
        <w:adjustRightInd w:val="0"/>
        <w:jc w:val="both"/>
        <w:rPr>
          <w:rFonts w:cs="Arial"/>
          <w:b/>
          <w:bCs/>
          <w:color w:val="FF0000"/>
          <w:szCs w:val="22"/>
        </w:rPr>
      </w:pPr>
    </w:p>
    <w:p w14:paraId="3F3E426F" w14:textId="77777777" w:rsidR="00A377B9" w:rsidRPr="00E07881" w:rsidRDefault="00A377B9" w:rsidP="00853792">
      <w:pPr>
        <w:autoSpaceDE w:val="0"/>
        <w:autoSpaceDN w:val="0"/>
        <w:adjustRightInd w:val="0"/>
        <w:jc w:val="both"/>
        <w:rPr>
          <w:rFonts w:cs="Arial"/>
          <w:color w:val="000000" w:themeColor="text1"/>
          <w:szCs w:val="22"/>
        </w:rPr>
      </w:pPr>
      <w:r w:rsidRPr="00E07881">
        <w:rPr>
          <w:rFonts w:cs="Arial"/>
          <w:color w:val="000000" w:themeColor="text1"/>
          <w:szCs w:val="22"/>
        </w:rPr>
        <w:t>For the purposes of gender pay reporting, the definition of who counts</w:t>
      </w:r>
      <w:r w:rsidR="001132D6" w:rsidRPr="00E07881">
        <w:rPr>
          <w:rFonts w:cs="Arial"/>
          <w:color w:val="000000" w:themeColor="text1"/>
          <w:szCs w:val="22"/>
        </w:rPr>
        <w:t xml:space="preserve"> </w:t>
      </w:r>
      <w:r w:rsidRPr="00E07881">
        <w:rPr>
          <w:rFonts w:cs="Arial"/>
          <w:color w:val="000000" w:themeColor="text1"/>
          <w:szCs w:val="22"/>
        </w:rPr>
        <w:t>as an employee is set out in the regulations and follows the definition in</w:t>
      </w:r>
      <w:r w:rsidR="001132D6" w:rsidRPr="00E07881">
        <w:rPr>
          <w:rFonts w:cs="Arial"/>
          <w:color w:val="000000" w:themeColor="text1"/>
          <w:szCs w:val="22"/>
        </w:rPr>
        <w:t xml:space="preserve"> </w:t>
      </w:r>
      <w:r w:rsidRPr="00E07881">
        <w:rPr>
          <w:rFonts w:cs="Arial"/>
          <w:color w:val="000000" w:themeColor="text1"/>
          <w:szCs w:val="22"/>
        </w:rPr>
        <w:t>the Equality Act 2010. This is known as an ‘extended’ definition that</w:t>
      </w:r>
      <w:r w:rsidR="001132D6" w:rsidRPr="00E07881">
        <w:rPr>
          <w:rFonts w:cs="Arial"/>
          <w:color w:val="000000" w:themeColor="text1"/>
          <w:szCs w:val="22"/>
        </w:rPr>
        <w:t xml:space="preserve"> </w:t>
      </w:r>
      <w:r w:rsidRPr="00E07881">
        <w:rPr>
          <w:rFonts w:cs="Arial"/>
          <w:color w:val="000000" w:themeColor="text1"/>
          <w:szCs w:val="22"/>
        </w:rPr>
        <w:t>includes:</w:t>
      </w:r>
    </w:p>
    <w:p w14:paraId="528761C8" w14:textId="77777777" w:rsidR="001132D6" w:rsidRPr="00E07881" w:rsidRDefault="001132D6" w:rsidP="00853792">
      <w:pPr>
        <w:autoSpaceDE w:val="0"/>
        <w:autoSpaceDN w:val="0"/>
        <w:adjustRightInd w:val="0"/>
        <w:jc w:val="both"/>
        <w:rPr>
          <w:rFonts w:cs="Arial"/>
          <w:color w:val="000000" w:themeColor="text1"/>
          <w:szCs w:val="22"/>
        </w:rPr>
      </w:pPr>
    </w:p>
    <w:p w14:paraId="2EBF1E1C" w14:textId="77777777" w:rsidR="00A377B9" w:rsidRPr="00E07881" w:rsidRDefault="00A377B9" w:rsidP="00853792">
      <w:pPr>
        <w:pStyle w:val="ListParagraph"/>
        <w:numPr>
          <w:ilvl w:val="0"/>
          <w:numId w:val="3"/>
        </w:numPr>
        <w:autoSpaceDE w:val="0"/>
        <w:autoSpaceDN w:val="0"/>
        <w:adjustRightInd w:val="0"/>
        <w:spacing w:line="360" w:lineRule="auto"/>
        <w:jc w:val="both"/>
        <w:rPr>
          <w:rFonts w:cs="Arial"/>
          <w:color w:val="000000" w:themeColor="text1"/>
          <w:szCs w:val="22"/>
        </w:rPr>
      </w:pPr>
      <w:r w:rsidRPr="00E07881">
        <w:rPr>
          <w:rFonts w:cs="Arial"/>
          <w:color w:val="000000" w:themeColor="text1"/>
          <w:szCs w:val="22"/>
        </w:rPr>
        <w:t>employees (those with a contract of employment)</w:t>
      </w:r>
    </w:p>
    <w:p w14:paraId="74F2D396" w14:textId="77777777" w:rsidR="00A377B9" w:rsidRPr="00E07881" w:rsidRDefault="00A377B9" w:rsidP="00853792">
      <w:pPr>
        <w:pStyle w:val="ListParagraph"/>
        <w:numPr>
          <w:ilvl w:val="0"/>
          <w:numId w:val="3"/>
        </w:numPr>
        <w:autoSpaceDE w:val="0"/>
        <w:autoSpaceDN w:val="0"/>
        <w:adjustRightInd w:val="0"/>
        <w:spacing w:line="360" w:lineRule="auto"/>
        <w:jc w:val="both"/>
        <w:rPr>
          <w:rFonts w:cs="Arial"/>
          <w:color w:val="000000" w:themeColor="text1"/>
          <w:szCs w:val="22"/>
        </w:rPr>
      </w:pPr>
      <w:r w:rsidRPr="00E07881">
        <w:rPr>
          <w:rFonts w:cs="Arial"/>
          <w:color w:val="000000" w:themeColor="text1"/>
          <w:szCs w:val="22"/>
        </w:rPr>
        <w:t>workers and agency workers (those with a contract to do work or</w:t>
      </w:r>
      <w:r w:rsidR="001132D6" w:rsidRPr="00E07881">
        <w:rPr>
          <w:rFonts w:cs="Arial"/>
          <w:color w:val="000000" w:themeColor="text1"/>
          <w:szCs w:val="22"/>
        </w:rPr>
        <w:t xml:space="preserve"> </w:t>
      </w:r>
      <w:r w:rsidRPr="00E07881">
        <w:rPr>
          <w:rFonts w:cs="Arial"/>
          <w:color w:val="000000" w:themeColor="text1"/>
          <w:szCs w:val="22"/>
        </w:rPr>
        <w:t>provide services)</w:t>
      </w:r>
    </w:p>
    <w:p w14:paraId="22AC2345" w14:textId="77777777" w:rsidR="001132D6" w:rsidRPr="00E07881" w:rsidRDefault="00A377B9" w:rsidP="00E07881">
      <w:pPr>
        <w:pStyle w:val="ListParagraph"/>
        <w:numPr>
          <w:ilvl w:val="0"/>
          <w:numId w:val="3"/>
        </w:numPr>
        <w:autoSpaceDE w:val="0"/>
        <w:autoSpaceDN w:val="0"/>
        <w:adjustRightInd w:val="0"/>
        <w:spacing w:line="360" w:lineRule="auto"/>
        <w:jc w:val="both"/>
        <w:rPr>
          <w:rFonts w:cs="Arial"/>
          <w:color w:val="000000" w:themeColor="text1"/>
          <w:szCs w:val="22"/>
        </w:rPr>
      </w:pPr>
      <w:r w:rsidRPr="00E07881">
        <w:rPr>
          <w:rFonts w:cs="Arial"/>
          <w:color w:val="000000" w:themeColor="text1"/>
          <w:szCs w:val="22"/>
        </w:rPr>
        <w:t xml:space="preserve">some self-employed people (where they </w:t>
      </w:r>
      <w:proofErr w:type="gramStart"/>
      <w:r w:rsidRPr="00E07881">
        <w:rPr>
          <w:rFonts w:cs="Arial"/>
          <w:color w:val="000000" w:themeColor="text1"/>
          <w:szCs w:val="22"/>
        </w:rPr>
        <w:t>have to</w:t>
      </w:r>
      <w:proofErr w:type="gramEnd"/>
      <w:r w:rsidRPr="00E07881">
        <w:rPr>
          <w:rFonts w:cs="Arial"/>
          <w:color w:val="000000" w:themeColor="text1"/>
          <w:szCs w:val="22"/>
        </w:rPr>
        <w:t xml:space="preserve"> personally</w:t>
      </w:r>
      <w:r w:rsidR="00B72CFA" w:rsidRPr="00E07881">
        <w:rPr>
          <w:rFonts w:cs="Arial"/>
          <w:color w:val="000000" w:themeColor="text1"/>
          <w:szCs w:val="22"/>
        </w:rPr>
        <w:t xml:space="preserve"> </w:t>
      </w:r>
      <w:r w:rsidRPr="00E07881">
        <w:rPr>
          <w:rFonts w:cs="Arial"/>
          <w:color w:val="000000" w:themeColor="text1"/>
          <w:szCs w:val="22"/>
        </w:rPr>
        <w:t>perform the work)</w:t>
      </w:r>
    </w:p>
    <w:p w14:paraId="40D1D89F" w14:textId="77777777" w:rsidR="006A6F57" w:rsidRPr="006A09C0" w:rsidRDefault="00A377B9" w:rsidP="00412F2A">
      <w:pPr>
        <w:pStyle w:val="ListParagraph"/>
        <w:numPr>
          <w:ilvl w:val="0"/>
          <w:numId w:val="3"/>
        </w:numPr>
        <w:autoSpaceDE w:val="0"/>
        <w:autoSpaceDN w:val="0"/>
        <w:adjustRightInd w:val="0"/>
        <w:spacing w:line="276" w:lineRule="auto"/>
        <w:jc w:val="both"/>
        <w:rPr>
          <w:rFonts w:cs="Arial"/>
          <w:b/>
          <w:bCs/>
          <w:color w:val="000000" w:themeColor="text1"/>
          <w:szCs w:val="22"/>
        </w:rPr>
      </w:pPr>
      <w:r w:rsidRPr="00E07881">
        <w:rPr>
          <w:rFonts w:cs="Arial"/>
          <w:color w:val="000000" w:themeColor="text1"/>
          <w:szCs w:val="22"/>
        </w:rPr>
        <w:t>police officers and the armed forces</w:t>
      </w:r>
    </w:p>
    <w:p w14:paraId="4D701B56" w14:textId="77777777" w:rsidR="00DE34DD" w:rsidRDefault="00DE34DD" w:rsidP="006A09C0">
      <w:pPr>
        <w:autoSpaceDE w:val="0"/>
        <w:autoSpaceDN w:val="0"/>
        <w:adjustRightInd w:val="0"/>
        <w:spacing w:line="276" w:lineRule="auto"/>
        <w:jc w:val="both"/>
        <w:rPr>
          <w:rFonts w:cs="Arial"/>
          <w:b/>
          <w:bCs/>
          <w:color w:val="000000" w:themeColor="text1"/>
          <w:szCs w:val="22"/>
        </w:rPr>
      </w:pPr>
    </w:p>
    <w:p w14:paraId="7ADC19C4" w14:textId="77777777" w:rsidR="006A6F57" w:rsidRDefault="006A6F57" w:rsidP="006A6F57">
      <w:pPr>
        <w:autoSpaceDE w:val="0"/>
        <w:autoSpaceDN w:val="0"/>
        <w:adjustRightInd w:val="0"/>
        <w:spacing w:line="276" w:lineRule="auto"/>
        <w:ind w:left="360"/>
        <w:jc w:val="both"/>
        <w:rPr>
          <w:rFonts w:cs="Arial"/>
          <w:b/>
          <w:bCs/>
          <w:color w:val="000000" w:themeColor="text1"/>
          <w:szCs w:val="22"/>
        </w:rPr>
      </w:pPr>
    </w:p>
    <w:p w14:paraId="68D55BD4" w14:textId="77777777" w:rsidR="00A377B9" w:rsidRPr="006A6F57" w:rsidRDefault="00E37C26" w:rsidP="006A6F57">
      <w:pPr>
        <w:autoSpaceDE w:val="0"/>
        <w:autoSpaceDN w:val="0"/>
        <w:adjustRightInd w:val="0"/>
        <w:spacing w:line="276" w:lineRule="auto"/>
        <w:jc w:val="both"/>
        <w:rPr>
          <w:rFonts w:cs="Arial"/>
          <w:b/>
          <w:bCs/>
          <w:color w:val="000000" w:themeColor="text1"/>
          <w:szCs w:val="22"/>
        </w:rPr>
      </w:pPr>
      <w:r w:rsidRPr="006A6F57">
        <w:rPr>
          <w:rFonts w:cs="Arial"/>
          <w:b/>
          <w:bCs/>
          <w:color w:val="000000" w:themeColor="text1"/>
          <w:szCs w:val="22"/>
        </w:rPr>
        <w:t>Wh</w:t>
      </w:r>
      <w:r w:rsidR="00A377B9" w:rsidRPr="006A6F57">
        <w:rPr>
          <w:rFonts w:cs="Arial"/>
          <w:b/>
          <w:bCs/>
          <w:color w:val="000000" w:themeColor="text1"/>
          <w:szCs w:val="22"/>
        </w:rPr>
        <w:t>at needs to be reported on?</w:t>
      </w:r>
    </w:p>
    <w:p w14:paraId="5C30B5F2" w14:textId="77777777" w:rsidR="001132D6" w:rsidRPr="00E07881" w:rsidRDefault="001132D6" w:rsidP="00853792">
      <w:pPr>
        <w:autoSpaceDE w:val="0"/>
        <w:autoSpaceDN w:val="0"/>
        <w:adjustRightInd w:val="0"/>
        <w:jc w:val="both"/>
        <w:rPr>
          <w:rFonts w:cs="Arial"/>
          <w:b/>
          <w:bCs/>
          <w:color w:val="000000" w:themeColor="text1"/>
          <w:szCs w:val="22"/>
        </w:rPr>
      </w:pPr>
    </w:p>
    <w:p w14:paraId="53C0EE43" w14:textId="77777777" w:rsidR="001132D6" w:rsidRPr="00E07881" w:rsidRDefault="00A377B9" w:rsidP="006A6F57">
      <w:pPr>
        <w:pStyle w:val="ListParagraph"/>
        <w:numPr>
          <w:ilvl w:val="3"/>
          <w:numId w:val="4"/>
        </w:numPr>
        <w:autoSpaceDE w:val="0"/>
        <w:autoSpaceDN w:val="0"/>
        <w:adjustRightInd w:val="0"/>
        <w:spacing w:line="360" w:lineRule="auto"/>
        <w:ind w:left="284" w:hanging="283"/>
        <w:jc w:val="both"/>
        <w:rPr>
          <w:rFonts w:cs="Arial"/>
          <w:color w:val="000000" w:themeColor="text1"/>
          <w:szCs w:val="22"/>
        </w:rPr>
      </w:pPr>
      <w:r w:rsidRPr="00E07881">
        <w:rPr>
          <w:rFonts w:cs="Arial"/>
          <w:color w:val="000000" w:themeColor="text1"/>
          <w:szCs w:val="22"/>
        </w:rPr>
        <w:t>The mean gender pay gap</w:t>
      </w:r>
    </w:p>
    <w:p w14:paraId="2B816904" w14:textId="77777777" w:rsidR="001132D6" w:rsidRPr="00E07881" w:rsidRDefault="00A377B9" w:rsidP="006A6F57">
      <w:pPr>
        <w:pStyle w:val="ListParagraph"/>
        <w:numPr>
          <w:ilvl w:val="3"/>
          <w:numId w:val="4"/>
        </w:numPr>
        <w:autoSpaceDE w:val="0"/>
        <w:autoSpaceDN w:val="0"/>
        <w:adjustRightInd w:val="0"/>
        <w:spacing w:line="360" w:lineRule="auto"/>
        <w:ind w:left="284" w:hanging="283"/>
        <w:jc w:val="both"/>
        <w:rPr>
          <w:rFonts w:cs="Arial"/>
          <w:color w:val="000000" w:themeColor="text1"/>
          <w:szCs w:val="22"/>
        </w:rPr>
      </w:pPr>
      <w:r w:rsidRPr="00E07881">
        <w:rPr>
          <w:rFonts w:cs="Arial"/>
          <w:color w:val="000000" w:themeColor="text1"/>
          <w:szCs w:val="22"/>
        </w:rPr>
        <w:t>The median gender pay gap</w:t>
      </w:r>
    </w:p>
    <w:p w14:paraId="1EA68EC7" w14:textId="77777777" w:rsidR="001132D6" w:rsidRPr="00E07881" w:rsidRDefault="00A377B9" w:rsidP="006A6F57">
      <w:pPr>
        <w:pStyle w:val="ListParagraph"/>
        <w:numPr>
          <w:ilvl w:val="3"/>
          <w:numId w:val="4"/>
        </w:numPr>
        <w:autoSpaceDE w:val="0"/>
        <w:autoSpaceDN w:val="0"/>
        <w:adjustRightInd w:val="0"/>
        <w:spacing w:line="360" w:lineRule="auto"/>
        <w:ind w:left="284" w:hanging="283"/>
        <w:jc w:val="both"/>
        <w:rPr>
          <w:rFonts w:cs="Arial"/>
          <w:color w:val="000000" w:themeColor="text1"/>
          <w:szCs w:val="22"/>
        </w:rPr>
      </w:pPr>
      <w:r w:rsidRPr="00E07881">
        <w:rPr>
          <w:rFonts w:cs="Arial"/>
          <w:color w:val="000000" w:themeColor="text1"/>
          <w:szCs w:val="22"/>
        </w:rPr>
        <w:t xml:space="preserve">The mean bonus gender </w:t>
      </w:r>
      <w:proofErr w:type="gramStart"/>
      <w:r w:rsidRPr="00E07881">
        <w:rPr>
          <w:rFonts w:cs="Arial"/>
          <w:color w:val="000000" w:themeColor="text1"/>
          <w:szCs w:val="22"/>
        </w:rPr>
        <w:t>pay</w:t>
      </w:r>
      <w:proofErr w:type="gramEnd"/>
      <w:r w:rsidRPr="00E07881">
        <w:rPr>
          <w:rFonts w:cs="Arial"/>
          <w:color w:val="000000" w:themeColor="text1"/>
          <w:szCs w:val="22"/>
        </w:rPr>
        <w:t xml:space="preserve"> gap</w:t>
      </w:r>
      <w:r w:rsidR="00FE0A1C">
        <w:rPr>
          <w:rFonts w:cs="Arial"/>
          <w:color w:val="000000" w:themeColor="text1"/>
          <w:szCs w:val="22"/>
        </w:rPr>
        <w:t xml:space="preserve"> (N/A)</w:t>
      </w:r>
    </w:p>
    <w:p w14:paraId="76C03757" w14:textId="77777777" w:rsidR="00F151CB" w:rsidRPr="00E07881" w:rsidRDefault="00A377B9" w:rsidP="006A6F57">
      <w:pPr>
        <w:pStyle w:val="ListParagraph"/>
        <w:numPr>
          <w:ilvl w:val="3"/>
          <w:numId w:val="4"/>
        </w:numPr>
        <w:autoSpaceDE w:val="0"/>
        <w:autoSpaceDN w:val="0"/>
        <w:adjustRightInd w:val="0"/>
        <w:spacing w:line="360" w:lineRule="auto"/>
        <w:ind w:left="284" w:hanging="283"/>
        <w:jc w:val="both"/>
        <w:rPr>
          <w:rFonts w:cs="Arial"/>
          <w:color w:val="000000" w:themeColor="text1"/>
          <w:szCs w:val="22"/>
        </w:rPr>
      </w:pPr>
      <w:r w:rsidRPr="00E07881">
        <w:rPr>
          <w:rFonts w:cs="Arial"/>
          <w:color w:val="000000" w:themeColor="text1"/>
          <w:szCs w:val="22"/>
        </w:rPr>
        <w:t xml:space="preserve">The median bonus gender </w:t>
      </w:r>
      <w:proofErr w:type="gramStart"/>
      <w:r w:rsidRPr="00E07881">
        <w:rPr>
          <w:rFonts w:cs="Arial"/>
          <w:color w:val="000000" w:themeColor="text1"/>
          <w:szCs w:val="22"/>
        </w:rPr>
        <w:t>pay</w:t>
      </w:r>
      <w:proofErr w:type="gramEnd"/>
      <w:r w:rsidRPr="00E07881">
        <w:rPr>
          <w:rFonts w:cs="Arial"/>
          <w:color w:val="000000" w:themeColor="text1"/>
          <w:szCs w:val="22"/>
        </w:rPr>
        <w:t xml:space="preserve"> gap</w:t>
      </w:r>
      <w:r w:rsidR="00FE0A1C">
        <w:rPr>
          <w:rFonts w:cs="Arial"/>
          <w:color w:val="000000" w:themeColor="text1"/>
          <w:szCs w:val="22"/>
        </w:rPr>
        <w:t xml:space="preserve"> (N/A)</w:t>
      </w:r>
    </w:p>
    <w:p w14:paraId="4717F6A5" w14:textId="77777777" w:rsidR="00F151CB" w:rsidRPr="00E07881" w:rsidRDefault="00F151CB" w:rsidP="006A6F57">
      <w:pPr>
        <w:pStyle w:val="ListParagraph"/>
        <w:numPr>
          <w:ilvl w:val="3"/>
          <w:numId w:val="4"/>
        </w:numPr>
        <w:autoSpaceDE w:val="0"/>
        <w:autoSpaceDN w:val="0"/>
        <w:adjustRightInd w:val="0"/>
        <w:spacing w:line="360" w:lineRule="auto"/>
        <w:ind w:left="284" w:hanging="283"/>
        <w:jc w:val="both"/>
        <w:rPr>
          <w:rFonts w:cs="Arial"/>
          <w:color w:val="000000" w:themeColor="text1"/>
          <w:szCs w:val="22"/>
        </w:rPr>
      </w:pPr>
      <w:r w:rsidRPr="00E07881">
        <w:rPr>
          <w:rFonts w:cs="Arial"/>
          <w:color w:val="000000" w:themeColor="text1"/>
          <w:szCs w:val="22"/>
        </w:rPr>
        <w:t>The proportion of males and females receiving a bonus payment</w:t>
      </w:r>
      <w:r w:rsidR="00FE0A1C">
        <w:rPr>
          <w:rFonts w:cs="Arial"/>
          <w:color w:val="000000" w:themeColor="text1"/>
          <w:szCs w:val="22"/>
        </w:rPr>
        <w:t xml:space="preserve"> (N/A)</w:t>
      </w:r>
    </w:p>
    <w:p w14:paraId="7D5E0376" w14:textId="77777777" w:rsidR="00A377B9" w:rsidRPr="00E07881" w:rsidRDefault="00F151CB" w:rsidP="006A6F57">
      <w:pPr>
        <w:pStyle w:val="ListParagraph"/>
        <w:numPr>
          <w:ilvl w:val="3"/>
          <w:numId w:val="4"/>
        </w:numPr>
        <w:autoSpaceDE w:val="0"/>
        <w:autoSpaceDN w:val="0"/>
        <w:adjustRightInd w:val="0"/>
        <w:spacing w:line="360" w:lineRule="auto"/>
        <w:ind w:left="284" w:hanging="283"/>
        <w:jc w:val="both"/>
        <w:rPr>
          <w:rFonts w:cs="Arial"/>
          <w:color w:val="000000" w:themeColor="text1"/>
          <w:szCs w:val="22"/>
        </w:rPr>
      </w:pPr>
      <w:r w:rsidRPr="00E07881">
        <w:rPr>
          <w:rFonts w:cs="Arial"/>
          <w:color w:val="000000" w:themeColor="text1"/>
          <w:szCs w:val="22"/>
        </w:rPr>
        <w:t>The proportion of males and females in each quartile band</w:t>
      </w:r>
    </w:p>
    <w:p w14:paraId="1AB7B8CF" w14:textId="77777777" w:rsidR="00D45774" w:rsidRPr="008A24B9" w:rsidRDefault="00D45774" w:rsidP="00853792">
      <w:pPr>
        <w:pStyle w:val="Default"/>
        <w:jc w:val="both"/>
        <w:rPr>
          <w:rFonts w:ascii="Arial" w:hAnsi="Arial" w:cs="Arial"/>
          <w:color w:val="FF0000"/>
          <w:sz w:val="22"/>
          <w:szCs w:val="22"/>
        </w:rPr>
      </w:pPr>
    </w:p>
    <w:p w14:paraId="1539A941" w14:textId="77777777" w:rsidR="00127CCC" w:rsidRPr="0064482F" w:rsidRDefault="00270AFE" w:rsidP="00853792">
      <w:pPr>
        <w:autoSpaceDE w:val="0"/>
        <w:autoSpaceDN w:val="0"/>
        <w:adjustRightInd w:val="0"/>
        <w:jc w:val="both"/>
        <w:rPr>
          <w:rFonts w:cs="Arial"/>
          <w:b/>
          <w:color w:val="000000" w:themeColor="text1"/>
          <w:szCs w:val="22"/>
        </w:rPr>
      </w:pPr>
      <w:r>
        <w:rPr>
          <w:rFonts w:cs="Arial"/>
          <w:b/>
          <w:color w:val="000000" w:themeColor="text1"/>
          <w:szCs w:val="22"/>
        </w:rPr>
        <w:t>What is ‘mean’,</w:t>
      </w:r>
      <w:r w:rsidR="00A03081" w:rsidRPr="0064482F">
        <w:rPr>
          <w:rFonts w:cs="Arial"/>
          <w:b/>
          <w:color w:val="000000" w:themeColor="text1"/>
          <w:szCs w:val="22"/>
        </w:rPr>
        <w:t xml:space="preserve"> </w:t>
      </w:r>
      <w:r w:rsidRPr="0064482F">
        <w:rPr>
          <w:rFonts w:cs="Arial"/>
          <w:b/>
          <w:color w:val="000000" w:themeColor="text1"/>
          <w:szCs w:val="22"/>
        </w:rPr>
        <w:t>‘median’</w:t>
      </w:r>
      <w:r>
        <w:rPr>
          <w:rFonts w:cs="Arial"/>
          <w:b/>
          <w:color w:val="000000" w:themeColor="text1"/>
          <w:szCs w:val="22"/>
        </w:rPr>
        <w:t xml:space="preserve"> &amp; ‘quartile’</w:t>
      </w:r>
      <w:r w:rsidR="006159DB">
        <w:rPr>
          <w:rFonts w:cs="Arial"/>
          <w:b/>
          <w:color w:val="000000" w:themeColor="text1"/>
          <w:szCs w:val="22"/>
        </w:rPr>
        <w:t>?</w:t>
      </w:r>
    </w:p>
    <w:p w14:paraId="601EE419" w14:textId="77777777" w:rsidR="0064482F" w:rsidRDefault="0064482F" w:rsidP="00D45774">
      <w:pPr>
        <w:pStyle w:val="Default"/>
        <w:rPr>
          <w:rFonts w:ascii="Arial" w:hAnsi="Arial" w:cs="Arial"/>
          <w:color w:val="FF0000"/>
          <w:sz w:val="22"/>
          <w:szCs w:val="22"/>
        </w:rPr>
      </w:pPr>
    </w:p>
    <w:p w14:paraId="1C2189D9" w14:textId="77777777" w:rsidR="0064482F" w:rsidRDefault="0064482F" w:rsidP="00D45774">
      <w:pPr>
        <w:pStyle w:val="Default"/>
      </w:pPr>
      <w:r w:rsidRPr="0064482F">
        <w:rPr>
          <w:b/>
        </w:rPr>
        <w:t>Mean</w:t>
      </w:r>
      <w:r>
        <w:t xml:space="preserve"> average involves adding up </w:t>
      </w:r>
      <w:proofErr w:type="gramStart"/>
      <w:r>
        <w:t>all of</w:t>
      </w:r>
      <w:proofErr w:type="gramEnd"/>
      <w:r>
        <w:t xml:space="preserve"> the numbers and dividing the result by how many numbers were in the list. </w:t>
      </w:r>
    </w:p>
    <w:p w14:paraId="4DB1F97C" w14:textId="77777777" w:rsidR="0030018C" w:rsidRDefault="0030018C" w:rsidP="00D45774">
      <w:pPr>
        <w:pStyle w:val="Default"/>
        <w:rPr>
          <w:b/>
        </w:rPr>
      </w:pPr>
    </w:p>
    <w:p w14:paraId="3FBCF7F8" w14:textId="77777777" w:rsidR="001C25D5" w:rsidRDefault="0064482F" w:rsidP="00D45774">
      <w:pPr>
        <w:pStyle w:val="Default"/>
      </w:pPr>
      <w:r w:rsidRPr="0064482F">
        <w:rPr>
          <w:b/>
        </w:rPr>
        <w:t>Median</w:t>
      </w:r>
      <w:r>
        <w:t xml:space="preserve"> average involves listing </w:t>
      </w:r>
      <w:proofErr w:type="gramStart"/>
      <w:r>
        <w:t>all of</w:t>
      </w:r>
      <w:proofErr w:type="gramEnd"/>
      <w:r>
        <w:t xml:space="preserve"> the numbers in numerical order. If there is an odd number of results, the median average is the middle number. If there is an even number of results, the median will be the mean of the two central numbers.</w:t>
      </w:r>
    </w:p>
    <w:p w14:paraId="4F81AA7A" w14:textId="77777777" w:rsidR="00270AFE" w:rsidRPr="002B48BA" w:rsidRDefault="00270AFE" w:rsidP="00D45774">
      <w:pPr>
        <w:pStyle w:val="Default"/>
        <w:rPr>
          <w:color w:val="000000" w:themeColor="text1"/>
        </w:rPr>
      </w:pPr>
    </w:p>
    <w:p w14:paraId="3C75EBCD" w14:textId="77777777" w:rsidR="00270AFE" w:rsidRPr="002B48BA" w:rsidRDefault="0030018C" w:rsidP="00D45774">
      <w:pPr>
        <w:pStyle w:val="Default"/>
        <w:rPr>
          <w:color w:val="000000" w:themeColor="text1"/>
        </w:rPr>
      </w:pPr>
      <w:r w:rsidRPr="002B48BA">
        <w:rPr>
          <w:b/>
          <w:color w:val="000000" w:themeColor="text1"/>
        </w:rPr>
        <w:t xml:space="preserve">Quartiles </w:t>
      </w:r>
      <w:r w:rsidR="002B48BA" w:rsidRPr="002B48BA">
        <w:rPr>
          <w:color w:val="000000" w:themeColor="text1"/>
        </w:rPr>
        <w:t xml:space="preserve">is the data </w:t>
      </w:r>
      <w:r w:rsidRPr="002B48BA">
        <w:rPr>
          <w:color w:val="000000" w:themeColor="text1"/>
        </w:rPr>
        <w:t xml:space="preserve">divided equally into four once the hourly rates of pay have been ordered numerically from lowest to </w:t>
      </w:r>
      <w:r w:rsidR="002B48BA" w:rsidRPr="002B48BA">
        <w:rPr>
          <w:color w:val="000000" w:themeColor="text1"/>
        </w:rPr>
        <w:t xml:space="preserve">highest. </w:t>
      </w:r>
      <w:r w:rsidRPr="002B48BA">
        <w:rPr>
          <w:color w:val="000000" w:themeColor="text1"/>
        </w:rPr>
        <w:t xml:space="preserve"> </w:t>
      </w:r>
      <w:proofErr w:type="gramStart"/>
      <w:r w:rsidR="002B48BA" w:rsidRPr="002B48BA">
        <w:rPr>
          <w:color w:val="000000" w:themeColor="text1"/>
        </w:rPr>
        <w:t>Thus</w:t>
      </w:r>
      <w:proofErr w:type="gramEnd"/>
      <w:r w:rsidR="002B48BA" w:rsidRPr="002B48BA">
        <w:rPr>
          <w:color w:val="000000" w:themeColor="text1"/>
        </w:rPr>
        <w:t xml:space="preserve"> creating four pay bands.</w:t>
      </w:r>
    </w:p>
    <w:p w14:paraId="12E3FD61" w14:textId="77777777" w:rsidR="00DE34DD" w:rsidRDefault="00DE34DD" w:rsidP="00853792">
      <w:pPr>
        <w:pStyle w:val="Default"/>
        <w:jc w:val="both"/>
        <w:rPr>
          <w:rFonts w:ascii="Arial" w:hAnsi="Arial" w:cs="Arial"/>
          <w:b/>
          <w:color w:val="000000" w:themeColor="text1"/>
          <w:sz w:val="22"/>
          <w:szCs w:val="22"/>
        </w:rPr>
      </w:pPr>
    </w:p>
    <w:p w14:paraId="4F7C26EA" w14:textId="77777777" w:rsidR="00127CCC" w:rsidRPr="007E7ADC" w:rsidRDefault="00127CCC" w:rsidP="00853792">
      <w:pPr>
        <w:pStyle w:val="Default"/>
        <w:jc w:val="both"/>
        <w:rPr>
          <w:rFonts w:ascii="Arial" w:hAnsi="Arial" w:cs="Arial"/>
          <w:b/>
          <w:color w:val="000000" w:themeColor="text1"/>
          <w:sz w:val="22"/>
          <w:szCs w:val="22"/>
        </w:rPr>
      </w:pPr>
      <w:r w:rsidRPr="007E7ADC">
        <w:rPr>
          <w:rFonts w:ascii="Arial" w:hAnsi="Arial" w:cs="Arial"/>
          <w:b/>
          <w:color w:val="000000" w:themeColor="text1"/>
          <w:sz w:val="22"/>
          <w:szCs w:val="22"/>
        </w:rPr>
        <w:t xml:space="preserve">ESFRS </w:t>
      </w:r>
      <w:r w:rsidR="00F151CB" w:rsidRPr="007E7ADC">
        <w:rPr>
          <w:rFonts w:ascii="Arial" w:hAnsi="Arial" w:cs="Arial"/>
          <w:b/>
          <w:color w:val="000000" w:themeColor="text1"/>
          <w:sz w:val="22"/>
          <w:szCs w:val="22"/>
        </w:rPr>
        <w:t xml:space="preserve">Data </w:t>
      </w:r>
    </w:p>
    <w:p w14:paraId="68EDAD15" w14:textId="77777777" w:rsidR="000C2E0E" w:rsidRDefault="000C2E0E" w:rsidP="00853792">
      <w:pPr>
        <w:pStyle w:val="Default"/>
        <w:jc w:val="both"/>
        <w:rPr>
          <w:rFonts w:ascii="Arial" w:hAnsi="Arial" w:cs="Arial"/>
          <w:color w:val="FF0000"/>
          <w:sz w:val="22"/>
          <w:szCs w:val="22"/>
        </w:rPr>
      </w:pPr>
    </w:p>
    <w:p w14:paraId="0115E2D0" w14:textId="77777777" w:rsidR="00F151CB" w:rsidRDefault="000C2E0E" w:rsidP="00853792">
      <w:pPr>
        <w:pStyle w:val="Default"/>
        <w:jc w:val="both"/>
        <w:rPr>
          <w:rFonts w:ascii="Arial" w:hAnsi="Arial" w:cs="Arial"/>
          <w:b/>
          <w:color w:val="auto"/>
          <w:sz w:val="22"/>
          <w:szCs w:val="22"/>
        </w:rPr>
      </w:pPr>
      <w:r w:rsidRPr="000C2E0E">
        <w:rPr>
          <w:rFonts w:ascii="Arial" w:hAnsi="Arial" w:cs="Arial"/>
          <w:b/>
          <w:color w:val="auto"/>
          <w:sz w:val="22"/>
          <w:szCs w:val="22"/>
        </w:rPr>
        <w:t xml:space="preserve">Who our workforce </w:t>
      </w:r>
      <w:proofErr w:type="gramStart"/>
      <w:r w:rsidRPr="000C2E0E">
        <w:rPr>
          <w:rFonts w:ascii="Arial" w:hAnsi="Arial" w:cs="Arial"/>
          <w:b/>
          <w:color w:val="auto"/>
          <w:sz w:val="22"/>
          <w:szCs w:val="22"/>
        </w:rPr>
        <w:t>are</w:t>
      </w:r>
      <w:proofErr w:type="gramEnd"/>
    </w:p>
    <w:p w14:paraId="3FAAF36B" w14:textId="77777777" w:rsidR="00DF3AE9" w:rsidRDefault="00DF3AE9" w:rsidP="00853792">
      <w:pPr>
        <w:pStyle w:val="Default"/>
        <w:jc w:val="both"/>
        <w:rPr>
          <w:rFonts w:ascii="Arial" w:hAnsi="Arial" w:cs="Arial"/>
          <w:b/>
          <w:color w:val="auto"/>
          <w:sz w:val="22"/>
          <w:szCs w:val="22"/>
        </w:rPr>
      </w:pPr>
    </w:p>
    <w:p w14:paraId="1C493002" w14:textId="7BDD1EA0" w:rsidR="000C2E0E" w:rsidRDefault="00DF3AE9" w:rsidP="00853792">
      <w:pPr>
        <w:pStyle w:val="Default"/>
        <w:jc w:val="both"/>
        <w:rPr>
          <w:rFonts w:ascii="Arial" w:hAnsi="Arial" w:cs="Arial"/>
          <w:color w:val="auto"/>
          <w:sz w:val="22"/>
          <w:szCs w:val="22"/>
        </w:rPr>
      </w:pPr>
      <w:r>
        <w:rPr>
          <w:rFonts w:ascii="Arial" w:hAnsi="Arial" w:cs="Arial"/>
          <w:color w:val="auto"/>
          <w:sz w:val="22"/>
          <w:szCs w:val="22"/>
        </w:rPr>
        <w:t xml:space="preserve">Our workforce </w:t>
      </w:r>
      <w:r w:rsidR="00DE34DD">
        <w:rPr>
          <w:rFonts w:ascii="Arial" w:hAnsi="Arial" w:cs="Arial"/>
          <w:color w:val="auto"/>
          <w:sz w:val="22"/>
          <w:szCs w:val="22"/>
        </w:rPr>
        <w:t>can be</w:t>
      </w:r>
      <w:r>
        <w:rPr>
          <w:rFonts w:ascii="Arial" w:hAnsi="Arial" w:cs="Arial"/>
          <w:color w:val="auto"/>
          <w:sz w:val="22"/>
          <w:szCs w:val="22"/>
        </w:rPr>
        <w:t xml:space="preserve"> </w:t>
      </w:r>
      <w:r w:rsidR="00BD0FBB">
        <w:rPr>
          <w:rFonts w:ascii="Arial" w:hAnsi="Arial" w:cs="Arial"/>
          <w:color w:val="auto"/>
          <w:sz w:val="22"/>
          <w:szCs w:val="22"/>
        </w:rPr>
        <w:t xml:space="preserve">broadly </w:t>
      </w:r>
      <w:r>
        <w:rPr>
          <w:rFonts w:ascii="Arial" w:hAnsi="Arial" w:cs="Arial"/>
          <w:color w:val="auto"/>
          <w:sz w:val="22"/>
          <w:szCs w:val="22"/>
        </w:rPr>
        <w:t xml:space="preserve">defined by two </w:t>
      </w:r>
      <w:proofErr w:type="gramStart"/>
      <w:r>
        <w:rPr>
          <w:rFonts w:ascii="Arial" w:hAnsi="Arial" w:cs="Arial"/>
          <w:color w:val="auto"/>
          <w:sz w:val="22"/>
          <w:szCs w:val="22"/>
        </w:rPr>
        <w:t>groups;</w:t>
      </w:r>
      <w:proofErr w:type="gramEnd"/>
      <w:r>
        <w:rPr>
          <w:rFonts w:ascii="Arial" w:hAnsi="Arial" w:cs="Arial"/>
          <w:color w:val="auto"/>
          <w:sz w:val="22"/>
          <w:szCs w:val="22"/>
        </w:rPr>
        <w:t xml:space="preserve"> Operational and </w:t>
      </w:r>
      <w:r w:rsidR="00BD0FBB">
        <w:rPr>
          <w:rFonts w:ascii="Arial" w:hAnsi="Arial" w:cs="Arial"/>
          <w:color w:val="auto"/>
          <w:sz w:val="22"/>
          <w:szCs w:val="22"/>
        </w:rPr>
        <w:t xml:space="preserve">Corporate </w:t>
      </w:r>
      <w:r>
        <w:rPr>
          <w:rFonts w:ascii="Arial" w:hAnsi="Arial" w:cs="Arial"/>
          <w:color w:val="auto"/>
          <w:sz w:val="22"/>
          <w:szCs w:val="22"/>
        </w:rPr>
        <w:t xml:space="preserve">Staff. Operational is </w:t>
      </w:r>
      <w:r w:rsidR="00DE34DD">
        <w:rPr>
          <w:rFonts w:ascii="Arial" w:hAnsi="Arial" w:cs="Arial"/>
          <w:color w:val="auto"/>
          <w:sz w:val="22"/>
          <w:szCs w:val="22"/>
        </w:rPr>
        <w:t xml:space="preserve">further </w:t>
      </w:r>
      <w:r>
        <w:rPr>
          <w:rFonts w:ascii="Arial" w:hAnsi="Arial" w:cs="Arial"/>
          <w:color w:val="auto"/>
          <w:sz w:val="22"/>
          <w:szCs w:val="22"/>
        </w:rPr>
        <w:t xml:space="preserve">broken down into three work groups, therefore leaving four work groups in total. The breakdown of our total workforce in accordance with the snapshot date used for our Gender Pay Gap data can be seen </w:t>
      </w:r>
      <w:proofErr w:type="gramStart"/>
      <w:r>
        <w:rPr>
          <w:rFonts w:ascii="Arial" w:hAnsi="Arial" w:cs="Arial"/>
          <w:color w:val="auto"/>
          <w:sz w:val="22"/>
          <w:szCs w:val="22"/>
        </w:rPr>
        <w:t>below;</w:t>
      </w:r>
      <w:proofErr w:type="gramEnd"/>
    </w:p>
    <w:p w14:paraId="3EC37D64" w14:textId="77777777" w:rsidR="00DF3AE9" w:rsidRDefault="00DF3AE9" w:rsidP="00853792">
      <w:pPr>
        <w:pStyle w:val="Default"/>
        <w:jc w:val="both"/>
        <w:rPr>
          <w:rFonts w:ascii="Arial" w:hAnsi="Arial" w:cs="Arial"/>
          <w:color w:val="auto"/>
          <w:sz w:val="22"/>
          <w:szCs w:val="22"/>
        </w:rPr>
      </w:pPr>
    </w:p>
    <w:p w14:paraId="6CAE35CC" w14:textId="6CECD469" w:rsidR="00DF3AE9" w:rsidRDefault="00D03261" w:rsidP="00853792">
      <w:pPr>
        <w:pStyle w:val="Default"/>
        <w:jc w:val="both"/>
        <w:rPr>
          <w:noProof/>
          <w:lang w:eastAsia="en-GB"/>
        </w:rPr>
      </w:pPr>
      <w:r>
        <w:rPr>
          <w:noProof/>
        </w:rPr>
        <w:drawing>
          <wp:inline distT="0" distB="0" distL="0" distR="0" wp14:anchorId="4B9BDE98" wp14:editId="35B74868">
            <wp:extent cx="4572000" cy="2743200"/>
            <wp:effectExtent l="0" t="0" r="0" b="0"/>
            <wp:docPr id="2" name="Chart 2">
              <a:extLst xmlns:a="http://schemas.openxmlformats.org/drawingml/2006/main">
                <a:ext uri="{FF2B5EF4-FFF2-40B4-BE49-F238E27FC236}">
                  <a16:creationId xmlns:a16="http://schemas.microsoft.com/office/drawing/2014/main" id="{2F071499-CB86-4B9A-B8F4-5E2B8B7D22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F1EC60B" w14:textId="0A13AA6F" w:rsidR="005A1DAE" w:rsidRDefault="000A69D2" w:rsidP="00853792">
      <w:pPr>
        <w:pStyle w:val="Default"/>
        <w:jc w:val="both"/>
        <w:rPr>
          <w:rFonts w:ascii="Arial" w:hAnsi="Arial" w:cs="Arial"/>
          <w:b/>
          <w:color w:val="auto"/>
          <w:sz w:val="22"/>
          <w:szCs w:val="22"/>
        </w:rPr>
      </w:pPr>
      <w:r>
        <w:rPr>
          <w:noProof/>
          <w:lang w:eastAsia="en-GB"/>
        </w:rPr>
        <w:br w:type="textWrapping" w:clear="all"/>
      </w:r>
    </w:p>
    <w:p w14:paraId="2AA04E84" w14:textId="77777777" w:rsidR="006D2536" w:rsidRPr="006A09C0" w:rsidRDefault="005A1DAE" w:rsidP="00853792">
      <w:pPr>
        <w:pStyle w:val="Default"/>
        <w:jc w:val="both"/>
        <w:rPr>
          <w:rFonts w:ascii="Arial" w:hAnsi="Arial" w:cs="Arial"/>
          <w:b/>
          <w:color w:val="auto"/>
          <w:sz w:val="22"/>
          <w:szCs w:val="22"/>
        </w:rPr>
      </w:pPr>
      <w:r w:rsidRPr="006A09C0">
        <w:rPr>
          <w:rFonts w:ascii="Arial" w:hAnsi="Arial" w:cs="Arial"/>
          <w:b/>
          <w:color w:val="auto"/>
          <w:sz w:val="22"/>
          <w:szCs w:val="22"/>
        </w:rPr>
        <w:t>On call staff calculation</w:t>
      </w:r>
    </w:p>
    <w:p w14:paraId="62F0F278" w14:textId="77777777" w:rsidR="005A1DAE" w:rsidRDefault="005A1DAE" w:rsidP="00853792">
      <w:pPr>
        <w:pStyle w:val="Default"/>
        <w:jc w:val="both"/>
        <w:rPr>
          <w:rFonts w:ascii="Arial" w:hAnsi="Arial" w:cs="Arial"/>
          <w:color w:val="auto"/>
          <w:sz w:val="22"/>
          <w:szCs w:val="22"/>
        </w:rPr>
      </w:pPr>
      <w:r>
        <w:rPr>
          <w:rFonts w:ascii="Arial" w:hAnsi="Arial" w:cs="Arial"/>
          <w:color w:val="auto"/>
          <w:sz w:val="22"/>
          <w:szCs w:val="22"/>
        </w:rPr>
        <w:t xml:space="preserve">Our </w:t>
      </w:r>
      <w:proofErr w:type="gramStart"/>
      <w:r>
        <w:rPr>
          <w:rFonts w:ascii="Arial" w:hAnsi="Arial" w:cs="Arial"/>
          <w:color w:val="auto"/>
          <w:sz w:val="22"/>
          <w:szCs w:val="22"/>
        </w:rPr>
        <w:t>on call</w:t>
      </w:r>
      <w:proofErr w:type="gramEnd"/>
      <w:r>
        <w:rPr>
          <w:rFonts w:ascii="Arial" w:hAnsi="Arial" w:cs="Arial"/>
          <w:color w:val="auto"/>
          <w:sz w:val="22"/>
          <w:szCs w:val="22"/>
        </w:rPr>
        <w:t xml:space="preserve"> staff work varying hours each week throughout the year on top of a standard retainer payment. As such their hourly rate for the purposes of this report cannot be calculated in the same way as the rest of our staff. To capture our </w:t>
      </w:r>
      <w:proofErr w:type="gramStart"/>
      <w:r>
        <w:rPr>
          <w:rFonts w:ascii="Arial" w:hAnsi="Arial" w:cs="Arial"/>
          <w:color w:val="auto"/>
          <w:sz w:val="22"/>
          <w:szCs w:val="22"/>
        </w:rPr>
        <w:t>on call</w:t>
      </w:r>
      <w:proofErr w:type="gramEnd"/>
      <w:r>
        <w:rPr>
          <w:rFonts w:ascii="Arial" w:hAnsi="Arial" w:cs="Arial"/>
          <w:color w:val="auto"/>
          <w:sz w:val="22"/>
          <w:szCs w:val="22"/>
        </w:rPr>
        <w:t xml:space="preserve"> staff we have taken an average of their hours over the 12 week period running up to the snapshot date as well as an average of their pay for the same period. We have used these two numbers to create an average hourly rate which is reflective of the hours they have been called out for. </w:t>
      </w:r>
    </w:p>
    <w:p w14:paraId="5092E199" w14:textId="77777777" w:rsidR="005A1DAE" w:rsidRPr="005A1DAE" w:rsidRDefault="005A1DAE" w:rsidP="00853792">
      <w:pPr>
        <w:pStyle w:val="Default"/>
        <w:jc w:val="both"/>
        <w:rPr>
          <w:rFonts w:ascii="Arial" w:hAnsi="Arial" w:cs="Arial"/>
          <w:color w:val="auto"/>
          <w:sz w:val="22"/>
          <w:szCs w:val="22"/>
        </w:rPr>
      </w:pPr>
    </w:p>
    <w:p w14:paraId="4F07E195" w14:textId="6BEEF16B" w:rsidR="00FE0A1C" w:rsidRDefault="00FE0A1C" w:rsidP="00FE0A1C">
      <w:pPr>
        <w:tabs>
          <w:tab w:val="left" w:pos="4678"/>
        </w:tabs>
        <w:autoSpaceDE w:val="0"/>
        <w:autoSpaceDN w:val="0"/>
        <w:adjustRightInd w:val="0"/>
        <w:jc w:val="both"/>
        <w:rPr>
          <w:rFonts w:cs="Arial"/>
          <w:b/>
        </w:rPr>
      </w:pPr>
      <w:r w:rsidRPr="00D120B4">
        <w:rPr>
          <w:rFonts w:cs="Arial"/>
          <w:b/>
        </w:rPr>
        <w:t>Mandatory Data</w:t>
      </w:r>
    </w:p>
    <w:p w14:paraId="48B07674" w14:textId="77777777" w:rsidR="00702ED5" w:rsidRPr="00D120B4" w:rsidRDefault="00702ED5" w:rsidP="00FE0A1C">
      <w:pPr>
        <w:tabs>
          <w:tab w:val="left" w:pos="4678"/>
        </w:tabs>
        <w:autoSpaceDE w:val="0"/>
        <w:autoSpaceDN w:val="0"/>
        <w:adjustRightInd w:val="0"/>
        <w:jc w:val="both"/>
        <w:rPr>
          <w:rFonts w:cs="Arial"/>
          <w:b/>
        </w:rPr>
      </w:pPr>
    </w:p>
    <w:p w14:paraId="7C65E02D" w14:textId="02727E83" w:rsidR="00FE0A1C" w:rsidRPr="00D120B4" w:rsidRDefault="00FE0A1C" w:rsidP="00FE0A1C">
      <w:pPr>
        <w:pStyle w:val="ListParagraph"/>
        <w:numPr>
          <w:ilvl w:val="0"/>
          <w:numId w:val="10"/>
        </w:numPr>
        <w:tabs>
          <w:tab w:val="left" w:pos="4678"/>
        </w:tabs>
        <w:autoSpaceDE w:val="0"/>
        <w:autoSpaceDN w:val="0"/>
        <w:adjustRightInd w:val="0"/>
        <w:jc w:val="both"/>
        <w:rPr>
          <w:rFonts w:cs="Arial"/>
        </w:rPr>
      </w:pPr>
      <w:r w:rsidRPr="00D120B4">
        <w:rPr>
          <w:rFonts w:cs="Arial"/>
        </w:rPr>
        <w:t xml:space="preserve">The mean gender pay gap </w:t>
      </w:r>
      <w:r w:rsidRPr="00D120B4">
        <w:rPr>
          <w:rFonts w:eastAsia="Times New Roman" w:cs="Arial"/>
          <w:szCs w:val="26"/>
          <w:lang w:val="en"/>
        </w:rPr>
        <w:t>is</w:t>
      </w:r>
      <w:r w:rsidR="00D120B4" w:rsidRPr="00D120B4">
        <w:rPr>
          <w:rFonts w:eastAsia="Times New Roman" w:cs="Arial"/>
          <w:szCs w:val="26"/>
          <w:lang w:val="en"/>
        </w:rPr>
        <w:t xml:space="preserve"> </w:t>
      </w:r>
      <w:r w:rsidR="00702ED5" w:rsidRPr="00702ED5">
        <w:rPr>
          <w:b/>
          <w:bCs/>
        </w:rPr>
        <w:t>13.62%</w:t>
      </w:r>
    </w:p>
    <w:p w14:paraId="6B561063" w14:textId="0FCE8FE2" w:rsidR="00FE0A1C" w:rsidRPr="00D120B4" w:rsidRDefault="00FE0A1C" w:rsidP="00FE0A1C">
      <w:pPr>
        <w:numPr>
          <w:ilvl w:val="0"/>
          <w:numId w:val="10"/>
        </w:numPr>
        <w:tabs>
          <w:tab w:val="left" w:pos="4678"/>
        </w:tabs>
        <w:spacing w:before="100" w:beforeAutospacing="1" w:after="100" w:afterAutospacing="1"/>
        <w:rPr>
          <w:rFonts w:eastAsia="Times New Roman" w:cs="Arial"/>
          <w:szCs w:val="26"/>
          <w:lang w:val="en"/>
        </w:rPr>
      </w:pPr>
      <w:r w:rsidRPr="00D120B4">
        <w:rPr>
          <w:rFonts w:eastAsia="Times New Roman" w:cs="Arial"/>
          <w:szCs w:val="26"/>
          <w:lang w:val="en"/>
        </w:rPr>
        <w:t xml:space="preserve">The median gender pay gap is </w:t>
      </w:r>
      <w:r w:rsidR="00702ED5" w:rsidRPr="00702ED5">
        <w:rPr>
          <w:b/>
          <w:bCs/>
        </w:rPr>
        <w:t>13.64%</w:t>
      </w:r>
    </w:p>
    <w:p w14:paraId="5FBF917C" w14:textId="77777777" w:rsidR="00FE0A1C" w:rsidRDefault="00FE0A1C" w:rsidP="00FE0A1C">
      <w:pPr>
        <w:numPr>
          <w:ilvl w:val="0"/>
          <w:numId w:val="10"/>
        </w:numPr>
        <w:tabs>
          <w:tab w:val="left" w:pos="4678"/>
        </w:tabs>
        <w:spacing w:before="100" w:beforeAutospacing="1" w:after="100" w:afterAutospacing="1"/>
        <w:rPr>
          <w:rFonts w:eastAsia="Times New Roman" w:cs="Arial"/>
          <w:color w:val="000000"/>
          <w:szCs w:val="26"/>
          <w:lang w:val="en"/>
        </w:rPr>
      </w:pPr>
      <w:r w:rsidRPr="00D120B4">
        <w:rPr>
          <w:rFonts w:eastAsia="Times New Roman" w:cs="Arial"/>
          <w:szCs w:val="26"/>
          <w:lang w:val="en"/>
        </w:rPr>
        <w:t xml:space="preserve">The </w:t>
      </w:r>
      <w:r w:rsidRPr="00D103B3">
        <w:rPr>
          <w:rFonts w:eastAsia="Times New Roman" w:cs="Arial"/>
          <w:color w:val="000000"/>
          <w:szCs w:val="26"/>
          <w:lang w:val="en"/>
        </w:rPr>
        <w:t>percentage of males and females</w:t>
      </w:r>
      <w:r>
        <w:rPr>
          <w:rFonts w:eastAsia="Times New Roman" w:cs="Arial"/>
          <w:color w:val="000000"/>
          <w:szCs w:val="26"/>
          <w:lang w:val="en"/>
        </w:rPr>
        <w:t xml:space="preserve"> in each pay quartile band is</w:t>
      </w:r>
      <w:r w:rsidRPr="00574D4F">
        <w:rPr>
          <w:rFonts w:eastAsia="Times New Roman" w:cs="Arial"/>
          <w:color w:val="000000"/>
          <w:szCs w:val="26"/>
          <w:lang w:val="en"/>
        </w:rPr>
        <w:t xml:space="preserve">: </w:t>
      </w:r>
    </w:p>
    <w:tbl>
      <w:tblPr>
        <w:tblpPr w:leftFromText="180" w:rightFromText="180" w:vertAnchor="text" w:horzAnchor="page" w:tblpX="949" w:tblpY="75"/>
        <w:tblW w:w="10197" w:type="dxa"/>
        <w:tblLook w:val="04A0" w:firstRow="1" w:lastRow="0" w:firstColumn="1" w:lastColumn="0" w:noHBand="0" w:noVBand="1"/>
      </w:tblPr>
      <w:tblGrid>
        <w:gridCol w:w="1334"/>
        <w:gridCol w:w="6510"/>
        <w:gridCol w:w="1186"/>
        <w:gridCol w:w="1167"/>
      </w:tblGrid>
      <w:tr w:rsidR="00412F2A" w:rsidRPr="007755B5" w14:paraId="146DF3E1" w14:textId="77777777" w:rsidTr="00270AFE">
        <w:trPr>
          <w:trHeight w:val="329"/>
        </w:trPr>
        <w:tc>
          <w:tcPr>
            <w:tcW w:w="13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33D3510" w14:textId="77777777" w:rsidR="00412F2A" w:rsidRPr="007755B5" w:rsidRDefault="00412F2A" w:rsidP="00412F2A">
            <w:pPr>
              <w:jc w:val="center"/>
              <w:rPr>
                <w:rFonts w:eastAsia="Times New Roman" w:cs="Arial"/>
                <w:b/>
                <w:bCs/>
                <w:color w:val="000000"/>
                <w:szCs w:val="22"/>
                <w:lang w:eastAsia="en-GB"/>
              </w:rPr>
            </w:pPr>
            <w:r w:rsidRPr="007755B5">
              <w:rPr>
                <w:rFonts w:eastAsia="Times New Roman" w:cs="Arial"/>
                <w:b/>
                <w:bCs/>
                <w:color w:val="000000"/>
                <w:szCs w:val="22"/>
                <w:lang w:eastAsia="en-GB"/>
              </w:rPr>
              <w:t>Band</w:t>
            </w:r>
          </w:p>
        </w:tc>
        <w:tc>
          <w:tcPr>
            <w:tcW w:w="6510" w:type="dxa"/>
            <w:tcBorders>
              <w:top w:val="single" w:sz="12" w:space="0" w:color="auto"/>
              <w:left w:val="nil"/>
              <w:bottom w:val="single" w:sz="12" w:space="0" w:color="auto"/>
              <w:right w:val="single" w:sz="12" w:space="0" w:color="auto"/>
            </w:tcBorders>
            <w:shd w:val="clear" w:color="auto" w:fill="auto"/>
            <w:vAlign w:val="center"/>
            <w:hideMark/>
          </w:tcPr>
          <w:p w14:paraId="6E2979AE" w14:textId="77777777" w:rsidR="00412F2A" w:rsidRPr="007755B5" w:rsidRDefault="00412F2A" w:rsidP="00412F2A">
            <w:pPr>
              <w:jc w:val="center"/>
              <w:rPr>
                <w:rFonts w:eastAsia="Times New Roman" w:cs="Arial"/>
                <w:b/>
                <w:bCs/>
                <w:color w:val="000000"/>
                <w:szCs w:val="22"/>
                <w:lang w:eastAsia="en-GB"/>
              </w:rPr>
            </w:pPr>
            <w:r w:rsidRPr="007755B5">
              <w:rPr>
                <w:rFonts w:eastAsia="Times New Roman" w:cs="Arial"/>
                <w:b/>
                <w:bCs/>
                <w:color w:val="000000"/>
                <w:szCs w:val="22"/>
                <w:lang w:eastAsia="en-GB"/>
              </w:rPr>
              <w:t>Description</w:t>
            </w:r>
          </w:p>
        </w:tc>
        <w:tc>
          <w:tcPr>
            <w:tcW w:w="1186" w:type="dxa"/>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14:paraId="482E045E" w14:textId="77777777" w:rsidR="00412F2A" w:rsidRPr="007755B5" w:rsidRDefault="00412F2A" w:rsidP="00412F2A">
            <w:pPr>
              <w:jc w:val="center"/>
              <w:rPr>
                <w:rFonts w:eastAsia="Times New Roman" w:cs="Arial"/>
                <w:b/>
                <w:bCs/>
                <w:color w:val="000000"/>
                <w:szCs w:val="22"/>
                <w:lang w:eastAsia="en-GB"/>
              </w:rPr>
            </w:pPr>
            <w:r w:rsidRPr="007755B5">
              <w:rPr>
                <w:rFonts w:eastAsia="Times New Roman" w:cs="Arial"/>
                <w:b/>
                <w:bCs/>
                <w:color w:val="000000"/>
                <w:szCs w:val="22"/>
                <w:lang w:eastAsia="en-GB"/>
              </w:rPr>
              <w:t>Males</w:t>
            </w:r>
          </w:p>
        </w:tc>
        <w:tc>
          <w:tcPr>
            <w:tcW w:w="1167" w:type="dxa"/>
            <w:tcBorders>
              <w:top w:val="single" w:sz="12" w:space="0" w:color="auto"/>
              <w:left w:val="nil"/>
              <w:bottom w:val="single" w:sz="12" w:space="0" w:color="auto"/>
              <w:right w:val="single" w:sz="12" w:space="0" w:color="auto"/>
            </w:tcBorders>
            <w:shd w:val="clear" w:color="auto" w:fill="D9D9D9" w:themeFill="background1" w:themeFillShade="D9"/>
            <w:vAlign w:val="center"/>
            <w:hideMark/>
          </w:tcPr>
          <w:p w14:paraId="286A633D" w14:textId="77777777" w:rsidR="00412F2A" w:rsidRPr="007755B5" w:rsidRDefault="00412F2A" w:rsidP="00412F2A">
            <w:pPr>
              <w:jc w:val="center"/>
              <w:rPr>
                <w:rFonts w:eastAsia="Times New Roman" w:cs="Arial"/>
                <w:b/>
                <w:bCs/>
                <w:color w:val="000000"/>
                <w:szCs w:val="22"/>
                <w:lang w:eastAsia="en-GB"/>
              </w:rPr>
            </w:pPr>
            <w:r w:rsidRPr="007755B5">
              <w:rPr>
                <w:rFonts w:eastAsia="Times New Roman" w:cs="Arial"/>
                <w:b/>
                <w:bCs/>
                <w:color w:val="000000"/>
                <w:szCs w:val="22"/>
                <w:lang w:eastAsia="en-GB"/>
              </w:rPr>
              <w:t>Females</w:t>
            </w:r>
          </w:p>
        </w:tc>
      </w:tr>
      <w:tr w:rsidR="00702ED5" w:rsidRPr="007755B5" w14:paraId="4F15DA68" w14:textId="77777777" w:rsidTr="00A1131C">
        <w:trPr>
          <w:trHeight w:val="260"/>
        </w:trPr>
        <w:tc>
          <w:tcPr>
            <w:tcW w:w="1334" w:type="dxa"/>
            <w:tcBorders>
              <w:top w:val="nil"/>
              <w:left w:val="single" w:sz="12" w:space="0" w:color="auto"/>
              <w:bottom w:val="single" w:sz="12" w:space="0" w:color="auto"/>
              <w:right w:val="single" w:sz="12" w:space="0" w:color="auto"/>
            </w:tcBorders>
            <w:shd w:val="clear" w:color="auto" w:fill="auto"/>
            <w:vAlign w:val="center"/>
            <w:hideMark/>
          </w:tcPr>
          <w:p w14:paraId="5931B49C" w14:textId="77777777" w:rsidR="00702ED5" w:rsidRPr="007755B5" w:rsidRDefault="00702ED5" w:rsidP="00702ED5">
            <w:pPr>
              <w:jc w:val="center"/>
              <w:rPr>
                <w:rFonts w:eastAsia="Times New Roman" w:cs="Arial"/>
                <w:color w:val="000000"/>
                <w:szCs w:val="22"/>
                <w:lang w:eastAsia="en-GB"/>
              </w:rPr>
            </w:pPr>
            <w:r w:rsidRPr="007755B5">
              <w:rPr>
                <w:rFonts w:eastAsia="Times New Roman" w:cs="Arial"/>
                <w:color w:val="000000"/>
                <w:szCs w:val="22"/>
                <w:lang w:eastAsia="en-GB"/>
              </w:rPr>
              <w:t>A</w:t>
            </w:r>
          </w:p>
        </w:tc>
        <w:tc>
          <w:tcPr>
            <w:tcW w:w="6510" w:type="dxa"/>
            <w:tcBorders>
              <w:top w:val="nil"/>
              <w:left w:val="nil"/>
              <w:bottom w:val="single" w:sz="12" w:space="0" w:color="auto"/>
              <w:right w:val="single" w:sz="12" w:space="0" w:color="auto"/>
            </w:tcBorders>
            <w:shd w:val="clear" w:color="auto" w:fill="auto"/>
            <w:vAlign w:val="center"/>
            <w:hideMark/>
          </w:tcPr>
          <w:p w14:paraId="62EAB583" w14:textId="77777777" w:rsidR="00702ED5" w:rsidRPr="007755B5" w:rsidRDefault="00702ED5" w:rsidP="00702ED5">
            <w:pPr>
              <w:jc w:val="center"/>
              <w:rPr>
                <w:rFonts w:eastAsia="Times New Roman" w:cs="Arial"/>
                <w:color w:val="000000"/>
                <w:szCs w:val="22"/>
                <w:lang w:eastAsia="en-GB"/>
              </w:rPr>
            </w:pPr>
            <w:r w:rsidRPr="007755B5">
              <w:rPr>
                <w:rFonts w:eastAsia="Times New Roman" w:cs="Arial"/>
                <w:color w:val="000000"/>
                <w:szCs w:val="22"/>
                <w:lang w:eastAsia="en-GB"/>
              </w:rPr>
              <w:t xml:space="preserve">Includes all employees whose standard hourly rate places them </w:t>
            </w:r>
            <w:r w:rsidRPr="007755B5">
              <w:rPr>
                <w:rFonts w:eastAsia="Times New Roman" w:cs="Arial"/>
                <w:b/>
                <w:bCs/>
                <w:color w:val="000000"/>
                <w:szCs w:val="22"/>
                <w:lang w:eastAsia="en-GB"/>
              </w:rPr>
              <w:t>at or below the lower quartile</w:t>
            </w:r>
          </w:p>
        </w:tc>
        <w:tc>
          <w:tcPr>
            <w:tcW w:w="1186" w:type="dxa"/>
            <w:tcBorders>
              <w:top w:val="nil"/>
              <w:left w:val="nil"/>
              <w:bottom w:val="single" w:sz="12" w:space="0" w:color="auto"/>
              <w:right w:val="single" w:sz="12" w:space="0" w:color="auto"/>
            </w:tcBorders>
            <w:shd w:val="clear" w:color="auto" w:fill="D9D9D9" w:themeFill="background1" w:themeFillShade="D9"/>
            <w:hideMark/>
          </w:tcPr>
          <w:p w14:paraId="6142518F" w14:textId="0148AFD6" w:rsidR="00702ED5" w:rsidRPr="00371D13" w:rsidRDefault="00702ED5" w:rsidP="00702ED5">
            <w:pPr>
              <w:jc w:val="center"/>
              <w:rPr>
                <w:rFonts w:eastAsia="Times New Roman" w:cs="Arial"/>
                <w:color w:val="FF0000"/>
                <w:szCs w:val="22"/>
                <w:lang w:eastAsia="en-GB"/>
              </w:rPr>
            </w:pPr>
            <w:r w:rsidRPr="00203614">
              <w:t>61.03%</w:t>
            </w:r>
          </w:p>
        </w:tc>
        <w:tc>
          <w:tcPr>
            <w:tcW w:w="1167" w:type="dxa"/>
            <w:tcBorders>
              <w:top w:val="nil"/>
              <w:left w:val="nil"/>
              <w:bottom w:val="single" w:sz="12" w:space="0" w:color="auto"/>
              <w:right w:val="single" w:sz="12" w:space="0" w:color="auto"/>
            </w:tcBorders>
            <w:shd w:val="clear" w:color="auto" w:fill="D9D9D9" w:themeFill="background1" w:themeFillShade="D9"/>
            <w:hideMark/>
          </w:tcPr>
          <w:p w14:paraId="483FB52A" w14:textId="58FE2EFE" w:rsidR="00702ED5" w:rsidRPr="00371D13" w:rsidRDefault="00702ED5" w:rsidP="00702ED5">
            <w:pPr>
              <w:jc w:val="center"/>
              <w:rPr>
                <w:rFonts w:eastAsia="Times New Roman" w:cs="Arial"/>
                <w:color w:val="FF0000"/>
                <w:szCs w:val="22"/>
                <w:lang w:eastAsia="en-GB"/>
              </w:rPr>
            </w:pPr>
            <w:r w:rsidRPr="00203614">
              <w:t>38.97%</w:t>
            </w:r>
          </w:p>
        </w:tc>
      </w:tr>
      <w:tr w:rsidR="00702ED5" w:rsidRPr="007755B5" w14:paraId="494990BF" w14:textId="77777777" w:rsidTr="00A1131C">
        <w:trPr>
          <w:trHeight w:val="260"/>
        </w:trPr>
        <w:tc>
          <w:tcPr>
            <w:tcW w:w="1334" w:type="dxa"/>
            <w:tcBorders>
              <w:top w:val="nil"/>
              <w:left w:val="single" w:sz="12" w:space="0" w:color="auto"/>
              <w:bottom w:val="single" w:sz="12" w:space="0" w:color="auto"/>
              <w:right w:val="single" w:sz="12" w:space="0" w:color="auto"/>
            </w:tcBorders>
            <w:shd w:val="clear" w:color="auto" w:fill="auto"/>
            <w:vAlign w:val="center"/>
            <w:hideMark/>
          </w:tcPr>
          <w:p w14:paraId="1468B2EF" w14:textId="77777777" w:rsidR="00702ED5" w:rsidRPr="007755B5" w:rsidRDefault="00702ED5" w:rsidP="00702ED5">
            <w:pPr>
              <w:jc w:val="center"/>
              <w:rPr>
                <w:rFonts w:eastAsia="Times New Roman" w:cs="Arial"/>
                <w:color w:val="000000"/>
                <w:szCs w:val="22"/>
                <w:lang w:eastAsia="en-GB"/>
              </w:rPr>
            </w:pPr>
            <w:r w:rsidRPr="007755B5">
              <w:rPr>
                <w:rFonts w:eastAsia="Times New Roman" w:cs="Arial"/>
                <w:color w:val="000000"/>
                <w:szCs w:val="22"/>
                <w:lang w:eastAsia="en-GB"/>
              </w:rPr>
              <w:t>B</w:t>
            </w:r>
          </w:p>
        </w:tc>
        <w:tc>
          <w:tcPr>
            <w:tcW w:w="6510" w:type="dxa"/>
            <w:tcBorders>
              <w:top w:val="nil"/>
              <w:left w:val="nil"/>
              <w:bottom w:val="single" w:sz="12" w:space="0" w:color="auto"/>
              <w:right w:val="single" w:sz="12" w:space="0" w:color="auto"/>
            </w:tcBorders>
            <w:shd w:val="clear" w:color="auto" w:fill="auto"/>
            <w:vAlign w:val="center"/>
            <w:hideMark/>
          </w:tcPr>
          <w:p w14:paraId="0FA52490" w14:textId="77777777" w:rsidR="00702ED5" w:rsidRPr="007755B5" w:rsidRDefault="00702ED5" w:rsidP="00702ED5">
            <w:pPr>
              <w:jc w:val="center"/>
              <w:rPr>
                <w:rFonts w:eastAsia="Times New Roman" w:cs="Arial"/>
                <w:color w:val="000000"/>
                <w:szCs w:val="22"/>
                <w:lang w:eastAsia="en-GB"/>
              </w:rPr>
            </w:pPr>
            <w:r w:rsidRPr="007755B5">
              <w:rPr>
                <w:rFonts w:eastAsia="Times New Roman" w:cs="Arial"/>
                <w:color w:val="000000"/>
                <w:szCs w:val="22"/>
                <w:lang w:eastAsia="en-GB"/>
              </w:rPr>
              <w:t xml:space="preserve">Includes all employees whose standard hourly rate places them above the lower quartile but </w:t>
            </w:r>
            <w:r w:rsidRPr="007755B5">
              <w:rPr>
                <w:rFonts w:eastAsia="Times New Roman" w:cs="Arial"/>
                <w:b/>
                <w:bCs/>
                <w:color w:val="000000"/>
                <w:szCs w:val="22"/>
                <w:lang w:eastAsia="en-GB"/>
              </w:rPr>
              <w:t>at or below the median</w:t>
            </w:r>
          </w:p>
        </w:tc>
        <w:tc>
          <w:tcPr>
            <w:tcW w:w="1186" w:type="dxa"/>
            <w:tcBorders>
              <w:top w:val="nil"/>
              <w:left w:val="nil"/>
              <w:bottom w:val="single" w:sz="12" w:space="0" w:color="auto"/>
              <w:right w:val="single" w:sz="12" w:space="0" w:color="auto"/>
            </w:tcBorders>
            <w:shd w:val="clear" w:color="auto" w:fill="D9D9D9" w:themeFill="background1" w:themeFillShade="D9"/>
            <w:hideMark/>
          </w:tcPr>
          <w:p w14:paraId="4D786275" w14:textId="68BC9D33" w:rsidR="00702ED5" w:rsidRPr="00371D13" w:rsidRDefault="00702ED5" w:rsidP="00702ED5">
            <w:pPr>
              <w:jc w:val="center"/>
              <w:rPr>
                <w:rFonts w:eastAsia="Times New Roman" w:cs="Arial"/>
                <w:color w:val="FF0000"/>
                <w:szCs w:val="22"/>
                <w:lang w:eastAsia="en-GB"/>
              </w:rPr>
            </w:pPr>
            <w:r w:rsidRPr="00203614">
              <w:t>87.11%</w:t>
            </w:r>
          </w:p>
        </w:tc>
        <w:tc>
          <w:tcPr>
            <w:tcW w:w="1167" w:type="dxa"/>
            <w:tcBorders>
              <w:top w:val="nil"/>
              <w:left w:val="nil"/>
              <w:bottom w:val="single" w:sz="12" w:space="0" w:color="auto"/>
              <w:right w:val="single" w:sz="12" w:space="0" w:color="auto"/>
            </w:tcBorders>
            <w:shd w:val="clear" w:color="auto" w:fill="D9D9D9" w:themeFill="background1" w:themeFillShade="D9"/>
            <w:hideMark/>
          </w:tcPr>
          <w:p w14:paraId="1E65FA8C" w14:textId="1EBC0ABB" w:rsidR="00702ED5" w:rsidRPr="00371D13" w:rsidRDefault="00702ED5" w:rsidP="00702ED5">
            <w:pPr>
              <w:jc w:val="center"/>
              <w:rPr>
                <w:rFonts w:eastAsia="Times New Roman" w:cs="Arial"/>
                <w:color w:val="FF0000"/>
                <w:szCs w:val="22"/>
                <w:lang w:eastAsia="en-GB"/>
              </w:rPr>
            </w:pPr>
            <w:r w:rsidRPr="00203614">
              <w:t>12.89%</w:t>
            </w:r>
          </w:p>
        </w:tc>
      </w:tr>
      <w:tr w:rsidR="00702ED5" w:rsidRPr="007755B5" w14:paraId="30962922" w14:textId="77777777" w:rsidTr="00A1131C">
        <w:trPr>
          <w:trHeight w:val="260"/>
        </w:trPr>
        <w:tc>
          <w:tcPr>
            <w:tcW w:w="1334" w:type="dxa"/>
            <w:tcBorders>
              <w:top w:val="nil"/>
              <w:left w:val="single" w:sz="12" w:space="0" w:color="auto"/>
              <w:bottom w:val="single" w:sz="12" w:space="0" w:color="auto"/>
              <w:right w:val="single" w:sz="12" w:space="0" w:color="auto"/>
            </w:tcBorders>
            <w:shd w:val="clear" w:color="auto" w:fill="auto"/>
            <w:vAlign w:val="center"/>
            <w:hideMark/>
          </w:tcPr>
          <w:p w14:paraId="2642B898" w14:textId="77777777" w:rsidR="00702ED5" w:rsidRPr="007755B5" w:rsidRDefault="00702ED5" w:rsidP="00702ED5">
            <w:pPr>
              <w:jc w:val="center"/>
              <w:rPr>
                <w:rFonts w:eastAsia="Times New Roman" w:cs="Arial"/>
                <w:color w:val="000000"/>
                <w:szCs w:val="22"/>
                <w:lang w:eastAsia="en-GB"/>
              </w:rPr>
            </w:pPr>
            <w:r w:rsidRPr="007755B5">
              <w:rPr>
                <w:rFonts w:eastAsia="Times New Roman" w:cs="Arial"/>
                <w:color w:val="000000"/>
                <w:szCs w:val="22"/>
                <w:lang w:eastAsia="en-GB"/>
              </w:rPr>
              <w:t>C</w:t>
            </w:r>
          </w:p>
        </w:tc>
        <w:tc>
          <w:tcPr>
            <w:tcW w:w="6510" w:type="dxa"/>
            <w:tcBorders>
              <w:top w:val="nil"/>
              <w:left w:val="nil"/>
              <w:bottom w:val="single" w:sz="12" w:space="0" w:color="auto"/>
              <w:right w:val="single" w:sz="12" w:space="0" w:color="auto"/>
            </w:tcBorders>
            <w:shd w:val="clear" w:color="auto" w:fill="auto"/>
            <w:vAlign w:val="center"/>
            <w:hideMark/>
          </w:tcPr>
          <w:p w14:paraId="68B06473" w14:textId="77777777" w:rsidR="00702ED5" w:rsidRPr="007755B5" w:rsidRDefault="00702ED5" w:rsidP="00702ED5">
            <w:pPr>
              <w:jc w:val="center"/>
              <w:rPr>
                <w:rFonts w:eastAsia="Times New Roman" w:cs="Arial"/>
                <w:color w:val="000000"/>
                <w:szCs w:val="22"/>
                <w:lang w:eastAsia="en-GB"/>
              </w:rPr>
            </w:pPr>
            <w:r w:rsidRPr="007755B5">
              <w:rPr>
                <w:rFonts w:eastAsia="Times New Roman" w:cs="Arial"/>
                <w:color w:val="000000"/>
                <w:szCs w:val="22"/>
                <w:lang w:eastAsia="en-GB"/>
              </w:rPr>
              <w:t xml:space="preserve">Includes all employees whose standard hourly rate places them </w:t>
            </w:r>
            <w:r w:rsidRPr="007755B5">
              <w:rPr>
                <w:rFonts w:eastAsia="Times New Roman" w:cs="Arial"/>
                <w:b/>
                <w:bCs/>
                <w:color w:val="000000"/>
                <w:szCs w:val="22"/>
                <w:lang w:eastAsia="en-GB"/>
              </w:rPr>
              <w:t>above the median but at or below the upper quartile</w:t>
            </w:r>
          </w:p>
        </w:tc>
        <w:tc>
          <w:tcPr>
            <w:tcW w:w="1186" w:type="dxa"/>
            <w:tcBorders>
              <w:top w:val="nil"/>
              <w:left w:val="nil"/>
              <w:bottom w:val="single" w:sz="12" w:space="0" w:color="auto"/>
              <w:right w:val="single" w:sz="12" w:space="0" w:color="auto"/>
            </w:tcBorders>
            <w:shd w:val="clear" w:color="auto" w:fill="D9D9D9" w:themeFill="background1" w:themeFillShade="D9"/>
            <w:hideMark/>
          </w:tcPr>
          <w:p w14:paraId="520A89AF" w14:textId="73576F4A" w:rsidR="00702ED5" w:rsidRPr="00371D13" w:rsidRDefault="00702ED5" w:rsidP="00702ED5">
            <w:pPr>
              <w:jc w:val="center"/>
              <w:rPr>
                <w:rFonts w:eastAsia="Times New Roman" w:cs="Arial"/>
                <w:color w:val="FF0000"/>
                <w:szCs w:val="22"/>
                <w:lang w:eastAsia="en-GB"/>
              </w:rPr>
            </w:pPr>
            <w:r w:rsidRPr="00203614">
              <w:t>79.38%</w:t>
            </w:r>
          </w:p>
        </w:tc>
        <w:tc>
          <w:tcPr>
            <w:tcW w:w="1167" w:type="dxa"/>
            <w:tcBorders>
              <w:top w:val="nil"/>
              <w:left w:val="nil"/>
              <w:bottom w:val="single" w:sz="12" w:space="0" w:color="auto"/>
              <w:right w:val="single" w:sz="12" w:space="0" w:color="auto"/>
            </w:tcBorders>
            <w:shd w:val="clear" w:color="auto" w:fill="D9D9D9" w:themeFill="background1" w:themeFillShade="D9"/>
            <w:hideMark/>
          </w:tcPr>
          <w:p w14:paraId="7950ECB7" w14:textId="74D65419" w:rsidR="00702ED5" w:rsidRPr="00371D13" w:rsidRDefault="00702ED5" w:rsidP="00702ED5">
            <w:pPr>
              <w:jc w:val="center"/>
              <w:rPr>
                <w:rFonts w:eastAsia="Times New Roman" w:cs="Arial"/>
                <w:color w:val="FF0000"/>
                <w:szCs w:val="22"/>
                <w:lang w:eastAsia="en-GB"/>
              </w:rPr>
            </w:pPr>
            <w:r w:rsidRPr="00203614">
              <w:t>20.62%</w:t>
            </w:r>
          </w:p>
        </w:tc>
      </w:tr>
      <w:tr w:rsidR="00702ED5" w:rsidRPr="007755B5" w14:paraId="6D388BD2" w14:textId="77777777" w:rsidTr="00A1131C">
        <w:trPr>
          <w:trHeight w:val="260"/>
        </w:trPr>
        <w:tc>
          <w:tcPr>
            <w:tcW w:w="1334" w:type="dxa"/>
            <w:tcBorders>
              <w:top w:val="nil"/>
              <w:left w:val="single" w:sz="12" w:space="0" w:color="auto"/>
              <w:bottom w:val="single" w:sz="12" w:space="0" w:color="auto"/>
              <w:right w:val="single" w:sz="12" w:space="0" w:color="auto"/>
            </w:tcBorders>
            <w:shd w:val="clear" w:color="auto" w:fill="auto"/>
            <w:vAlign w:val="center"/>
            <w:hideMark/>
          </w:tcPr>
          <w:p w14:paraId="0BB4D28C" w14:textId="77777777" w:rsidR="00702ED5" w:rsidRPr="007755B5" w:rsidRDefault="00702ED5" w:rsidP="00702ED5">
            <w:pPr>
              <w:jc w:val="center"/>
              <w:rPr>
                <w:rFonts w:eastAsia="Times New Roman" w:cs="Arial"/>
                <w:color w:val="000000"/>
                <w:szCs w:val="22"/>
                <w:lang w:eastAsia="en-GB"/>
              </w:rPr>
            </w:pPr>
            <w:r w:rsidRPr="007755B5">
              <w:rPr>
                <w:rFonts w:eastAsia="Times New Roman" w:cs="Arial"/>
                <w:color w:val="000000"/>
                <w:szCs w:val="22"/>
                <w:lang w:eastAsia="en-GB"/>
              </w:rPr>
              <w:t>D</w:t>
            </w:r>
          </w:p>
        </w:tc>
        <w:tc>
          <w:tcPr>
            <w:tcW w:w="6510" w:type="dxa"/>
            <w:tcBorders>
              <w:top w:val="nil"/>
              <w:left w:val="nil"/>
              <w:bottom w:val="single" w:sz="12" w:space="0" w:color="auto"/>
              <w:right w:val="single" w:sz="12" w:space="0" w:color="auto"/>
            </w:tcBorders>
            <w:shd w:val="clear" w:color="auto" w:fill="auto"/>
            <w:vAlign w:val="center"/>
            <w:hideMark/>
          </w:tcPr>
          <w:p w14:paraId="32FE0C7E" w14:textId="77777777" w:rsidR="00702ED5" w:rsidRPr="007755B5" w:rsidRDefault="00702ED5" w:rsidP="00702ED5">
            <w:pPr>
              <w:jc w:val="center"/>
              <w:rPr>
                <w:rFonts w:eastAsia="Times New Roman" w:cs="Arial"/>
                <w:color w:val="000000"/>
                <w:szCs w:val="22"/>
                <w:lang w:eastAsia="en-GB"/>
              </w:rPr>
            </w:pPr>
            <w:r w:rsidRPr="007755B5">
              <w:rPr>
                <w:rFonts w:eastAsia="Times New Roman" w:cs="Arial"/>
                <w:color w:val="000000"/>
                <w:szCs w:val="22"/>
                <w:lang w:eastAsia="en-GB"/>
              </w:rPr>
              <w:t xml:space="preserve">Includes all employees whose standard hourly rate places them </w:t>
            </w:r>
            <w:r w:rsidRPr="007755B5">
              <w:rPr>
                <w:rFonts w:eastAsia="Times New Roman" w:cs="Arial"/>
                <w:b/>
                <w:bCs/>
                <w:color w:val="000000"/>
                <w:szCs w:val="22"/>
                <w:lang w:eastAsia="en-GB"/>
              </w:rPr>
              <w:t>above the upper quartile</w:t>
            </w:r>
          </w:p>
        </w:tc>
        <w:tc>
          <w:tcPr>
            <w:tcW w:w="1186" w:type="dxa"/>
            <w:tcBorders>
              <w:top w:val="nil"/>
              <w:left w:val="nil"/>
              <w:bottom w:val="single" w:sz="12" w:space="0" w:color="auto"/>
              <w:right w:val="single" w:sz="12" w:space="0" w:color="auto"/>
            </w:tcBorders>
            <w:shd w:val="clear" w:color="auto" w:fill="D9D9D9" w:themeFill="background1" w:themeFillShade="D9"/>
            <w:hideMark/>
          </w:tcPr>
          <w:p w14:paraId="57320A20" w14:textId="0DF8FA1E" w:rsidR="00702ED5" w:rsidRPr="00371D13" w:rsidRDefault="00702ED5" w:rsidP="00702ED5">
            <w:pPr>
              <w:jc w:val="center"/>
              <w:rPr>
                <w:rFonts w:eastAsia="Times New Roman" w:cs="Arial"/>
                <w:color w:val="FF0000"/>
                <w:szCs w:val="22"/>
                <w:lang w:eastAsia="en-GB"/>
              </w:rPr>
            </w:pPr>
            <w:r w:rsidRPr="00203614">
              <w:t>87.63%</w:t>
            </w:r>
          </w:p>
        </w:tc>
        <w:tc>
          <w:tcPr>
            <w:tcW w:w="1167" w:type="dxa"/>
            <w:tcBorders>
              <w:top w:val="nil"/>
              <w:left w:val="nil"/>
              <w:bottom w:val="single" w:sz="12" w:space="0" w:color="auto"/>
              <w:right w:val="single" w:sz="12" w:space="0" w:color="auto"/>
            </w:tcBorders>
            <w:shd w:val="clear" w:color="auto" w:fill="D9D9D9" w:themeFill="background1" w:themeFillShade="D9"/>
            <w:hideMark/>
          </w:tcPr>
          <w:p w14:paraId="35BB4AFD" w14:textId="4F726A6A" w:rsidR="00702ED5" w:rsidRPr="00371D13" w:rsidRDefault="00702ED5" w:rsidP="00702ED5">
            <w:pPr>
              <w:jc w:val="center"/>
              <w:rPr>
                <w:rFonts w:eastAsia="Times New Roman" w:cs="Arial"/>
                <w:color w:val="FF0000"/>
                <w:szCs w:val="22"/>
                <w:lang w:eastAsia="en-GB"/>
              </w:rPr>
            </w:pPr>
            <w:r w:rsidRPr="00203614">
              <w:t>12.37%</w:t>
            </w:r>
          </w:p>
        </w:tc>
      </w:tr>
    </w:tbl>
    <w:p w14:paraId="2D58F52C" w14:textId="77777777" w:rsidR="00412F2A" w:rsidRDefault="00412F2A" w:rsidP="00412F2A">
      <w:pPr>
        <w:tabs>
          <w:tab w:val="left" w:pos="4678"/>
        </w:tabs>
        <w:spacing w:before="100" w:beforeAutospacing="1" w:after="100" w:afterAutospacing="1"/>
        <w:ind w:left="360"/>
        <w:rPr>
          <w:rFonts w:eastAsia="Times New Roman" w:cs="Arial"/>
          <w:color w:val="000000"/>
          <w:szCs w:val="26"/>
          <w:lang w:val="en"/>
        </w:rPr>
      </w:pPr>
    </w:p>
    <w:p w14:paraId="48C25274" w14:textId="77777777" w:rsidR="006D2536" w:rsidRDefault="006D2536" w:rsidP="00853792">
      <w:pPr>
        <w:pStyle w:val="Default"/>
        <w:jc w:val="both"/>
        <w:rPr>
          <w:rFonts w:ascii="Arial" w:hAnsi="Arial" w:cs="Arial"/>
          <w:b/>
          <w:color w:val="000000" w:themeColor="text1"/>
          <w:sz w:val="22"/>
          <w:szCs w:val="22"/>
        </w:rPr>
      </w:pPr>
    </w:p>
    <w:p w14:paraId="61E21231" w14:textId="77777777" w:rsidR="00412F2A" w:rsidRDefault="00412F2A" w:rsidP="00853792">
      <w:pPr>
        <w:pStyle w:val="Default"/>
        <w:jc w:val="both"/>
        <w:rPr>
          <w:rFonts w:ascii="Arial" w:hAnsi="Arial" w:cs="Arial"/>
          <w:b/>
          <w:color w:val="000000" w:themeColor="text1"/>
          <w:sz w:val="22"/>
          <w:szCs w:val="22"/>
        </w:rPr>
      </w:pPr>
    </w:p>
    <w:p w14:paraId="38E0CAC7" w14:textId="77777777" w:rsidR="00412F2A" w:rsidRDefault="00412F2A" w:rsidP="00853792">
      <w:pPr>
        <w:pStyle w:val="Default"/>
        <w:jc w:val="both"/>
        <w:rPr>
          <w:rFonts w:ascii="Arial" w:hAnsi="Arial" w:cs="Arial"/>
          <w:b/>
          <w:color w:val="000000" w:themeColor="text1"/>
          <w:sz w:val="22"/>
          <w:szCs w:val="22"/>
        </w:rPr>
      </w:pPr>
    </w:p>
    <w:p w14:paraId="22CFFA21" w14:textId="77777777" w:rsidR="00412F2A" w:rsidRDefault="00412F2A" w:rsidP="00853792">
      <w:pPr>
        <w:pStyle w:val="Default"/>
        <w:jc w:val="both"/>
        <w:rPr>
          <w:rFonts w:ascii="Arial" w:hAnsi="Arial" w:cs="Arial"/>
          <w:b/>
          <w:color w:val="000000" w:themeColor="text1"/>
          <w:sz w:val="22"/>
          <w:szCs w:val="22"/>
        </w:rPr>
      </w:pPr>
    </w:p>
    <w:p w14:paraId="1FBB828E" w14:textId="77777777" w:rsidR="00412F2A" w:rsidRDefault="00412F2A" w:rsidP="00853792">
      <w:pPr>
        <w:pStyle w:val="Default"/>
        <w:jc w:val="both"/>
        <w:rPr>
          <w:rFonts w:ascii="Arial" w:hAnsi="Arial" w:cs="Arial"/>
          <w:b/>
          <w:color w:val="000000" w:themeColor="text1"/>
          <w:sz w:val="22"/>
          <w:szCs w:val="22"/>
        </w:rPr>
      </w:pPr>
    </w:p>
    <w:p w14:paraId="778C4EC2" w14:textId="77777777" w:rsidR="00412F2A" w:rsidRDefault="00412F2A" w:rsidP="00853792">
      <w:pPr>
        <w:pStyle w:val="Default"/>
        <w:jc w:val="both"/>
        <w:rPr>
          <w:rFonts w:ascii="Arial" w:hAnsi="Arial" w:cs="Arial"/>
          <w:b/>
          <w:color w:val="000000" w:themeColor="text1"/>
          <w:sz w:val="22"/>
          <w:szCs w:val="22"/>
        </w:rPr>
      </w:pPr>
    </w:p>
    <w:p w14:paraId="5CB66C20" w14:textId="77777777" w:rsidR="00412F2A" w:rsidRDefault="00412F2A" w:rsidP="00853792">
      <w:pPr>
        <w:pStyle w:val="Default"/>
        <w:jc w:val="both"/>
        <w:rPr>
          <w:rFonts w:ascii="Arial" w:hAnsi="Arial" w:cs="Arial"/>
          <w:b/>
          <w:color w:val="000000" w:themeColor="text1"/>
          <w:sz w:val="22"/>
          <w:szCs w:val="22"/>
        </w:rPr>
      </w:pPr>
    </w:p>
    <w:p w14:paraId="5D5EE702" w14:textId="77777777" w:rsidR="00412F2A" w:rsidRDefault="00412F2A" w:rsidP="00853792">
      <w:pPr>
        <w:pStyle w:val="Default"/>
        <w:jc w:val="both"/>
        <w:rPr>
          <w:rFonts w:ascii="Arial" w:hAnsi="Arial" w:cs="Arial"/>
          <w:b/>
          <w:color w:val="000000" w:themeColor="text1"/>
          <w:sz w:val="22"/>
          <w:szCs w:val="22"/>
        </w:rPr>
      </w:pPr>
    </w:p>
    <w:p w14:paraId="1CD11A56" w14:textId="77777777" w:rsidR="00412F2A" w:rsidRDefault="00412F2A" w:rsidP="00853792">
      <w:pPr>
        <w:pStyle w:val="Default"/>
        <w:jc w:val="both"/>
        <w:rPr>
          <w:rFonts w:ascii="Arial" w:hAnsi="Arial" w:cs="Arial"/>
          <w:b/>
          <w:color w:val="000000" w:themeColor="text1"/>
          <w:sz w:val="22"/>
          <w:szCs w:val="22"/>
        </w:rPr>
      </w:pPr>
    </w:p>
    <w:p w14:paraId="1CEC0A38" w14:textId="77777777" w:rsidR="00412F2A" w:rsidRDefault="00412F2A" w:rsidP="00853792">
      <w:pPr>
        <w:pStyle w:val="Default"/>
        <w:jc w:val="both"/>
        <w:rPr>
          <w:rFonts w:ascii="Arial" w:hAnsi="Arial" w:cs="Arial"/>
          <w:b/>
          <w:color w:val="000000" w:themeColor="text1"/>
          <w:sz w:val="22"/>
          <w:szCs w:val="22"/>
        </w:rPr>
      </w:pPr>
    </w:p>
    <w:p w14:paraId="2650C9EE" w14:textId="77777777" w:rsidR="00DF3AE9" w:rsidRDefault="00DF3AE9" w:rsidP="00853792">
      <w:pPr>
        <w:pStyle w:val="Default"/>
        <w:jc w:val="both"/>
        <w:rPr>
          <w:rFonts w:ascii="Arial" w:hAnsi="Arial" w:cs="Arial"/>
          <w:b/>
          <w:color w:val="000000" w:themeColor="text1"/>
          <w:sz w:val="22"/>
          <w:szCs w:val="22"/>
        </w:rPr>
      </w:pPr>
    </w:p>
    <w:p w14:paraId="045F8329" w14:textId="77777777" w:rsidR="0062590D" w:rsidRDefault="003C2F52" w:rsidP="00853792">
      <w:pPr>
        <w:pStyle w:val="Default"/>
        <w:jc w:val="both"/>
        <w:rPr>
          <w:rFonts w:ascii="Arial" w:hAnsi="Arial" w:cs="Arial"/>
          <w:color w:val="FF0000"/>
          <w:sz w:val="22"/>
          <w:szCs w:val="22"/>
        </w:rPr>
      </w:pPr>
      <w:r>
        <w:rPr>
          <w:rFonts w:ascii="Arial" w:hAnsi="Arial" w:cs="Arial"/>
          <w:b/>
          <w:color w:val="000000" w:themeColor="text1"/>
          <w:sz w:val="22"/>
          <w:szCs w:val="22"/>
        </w:rPr>
        <w:t>What does the data tell us?</w:t>
      </w:r>
    </w:p>
    <w:p w14:paraId="5F376B3F" w14:textId="77777777" w:rsidR="003C2F52" w:rsidRDefault="003C2F52" w:rsidP="003C2F52">
      <w:pPr>
        <w:pStyle w:val="Default"/>
        <w:jc w:val="both"/>
        <w:rPr>
          <w:rFonts w:ascii="Arial" w:hAnsi="Arial" w:cs="Arial"/>
          <w:b/>
          <w:color w:val="000000" w:themeColor="text1"/>
          <w:sz w:val="22"/>
          <w:szCs w:val="22"/>
        </w:rPr>
      </w:pPr>
    </w:p>
    <w:p w14:paraId="6C1A484B" w14:textId="4B04148D" w:rsidR="00741BC8" w:rsidRPr="00371D13" w:rsidRDefault="00726337" w:rsidP="003C2F52">
      <w:pPr>
        <w:pStyle w:val="Default"/>
        <w:jc w:val="both"/>
        <w:rPr>
          <w:rFonts w:ascii="Arial" w:hAnsi="Arial" w:cs="Arial"/>
          <w:b/>
          <w:color w:val="FF0000"/>
          <w:sz w:val="22"/>
          <w:szCs w:val="22"/>
        </w:rPr>
      </w:pPr>
      <w:r w:rsidRPr="00ED48B1">
        <w:rPr>
          <w:rFonts w:ascii="Arial" w:hAnsi="Arial" w:cs="Arial"/>
          <w:b/>
          <w:color w:val="auto"/>
          <w:sz w:val="22"/>
          <w:szCs w:val="22"/>
        </w:rPr>
        <w:t>Mean</w:t>
      </w:r>
      <w:r w:rsidR="003C2F52" w:rsidRPr="00ED48B1">
        <w:rPr>
          <w:rFonts w:ascii="Arial" w:hAnsi="Arial" w:cs="Arial"/>
          <w:b/>
          <w:color w:val="auto"/>
          <w:sz w:val="22"/>
          <w:szCs w:val="22"/>
        </w:rPr>
        <w:t xml:space="preserve">    </w:t>
      </w:r>
      <w:r w:rsidR="007E0C2E" w:rsidRPr="00371D13">
        <w:rPr>
          <w:rFonts w:ascii="Arial" w:hAnsi="Arial" w:cs="Arial"/>
          <w:b/>
          <w:color w:val="FF0000"/>
          <w:sz w:val="22"/>
          <w:szCs w:val="22"/>
        </w:rPr>
        <w:tab/>
      </w:r>
      <w:r w:rsidR="007E0C2E" w:rsidRPr="00371D13">
        <w:rPr>
          <w:rFonts w:ascii="Arial" w:hAnsi="Arial" w:cs="Arial"/>
          <w:b/>
          <w:color w:val="FF0000"/>
          <w:sz w:val="22"/>
          <w:szCs w:val="22"/>
        </w:rPr>
        <w:tab/>
      </w:r>
      <w:r w:rsidR="007E0C2E" w:rsidRPr="00371D13">
        <w:rPr>
          <w:rFonts w:ascii="Arial" w:hAnsi="Arial" w:cs="Arial"/>
          <w:b/>
          <w:color w:val="FF0000"/>
          <w:sz w:val="22"/>
          <w:szCs w:val="22"/>
        </w:rPr>
        <w:tab/>
      </w:r>
      <w:r w:rsidR="007E0C2E" w:rsidRPr="00371D13">
        <w:rPr>
          <w:rFonts w:ascii="Arial" w:hAnsi="Arial" w:cs="Arial"/>
          <w:b/>
          <w:color w:val="FF0000"/>
          <w:sz w:val="22"/>
          <w:szCs w:val="22"/>
        </w:rPr>
        <w:tab/>
      </w:r>
      <w:r w:rsidR="007E0C2E" w:rsidRPr="00371D13">
        <w:rPr>
          <w:rFonts w:ascii="Arial" w:hAnsi="Arial" w:cs="Arial"/>
          <w:b/>
          <w:color w:val="FF0000"/>
          <w:sz w:val="22"/>
          <w:szCs w:val="22"/>
        </w:rPr>
        <w:tab/>
      </w:r>
      <w:r w:rsidR="003A70B9">
        <w:rPr>
          <w:rFonts w:ascii="Arial" w:hAnsi="Arial" w:cs="Arial"/>
          <w:b/>
          <w:color w:val="FF0000"/>
          <w:sz w:val="22"/>
          <w:szCs w:val="22"/>
        </w:rPr>
        <w:t xml:space="preserve">        </w:t>
      </w:r>
      <w:r w:rsidR="007E0C2E" w:rsidRPr="00ED48B1">
        <w:rPr>
          <w:rFonts w:ascii="Arial" w:hAnsi="Arial" w:cs="Arial"/>
          <w:b/>
          <w:color w:val="auto"/>
          <w:sz w:val="22"/>
          <w:szCs w:val="22"/>
        </w:rPr>
        <w:t>Median</w:t>
      </w:r>
    </w:p>
    <w:p w14:paraId="4754617A" w14:textId="77777777" w:rsidR="007E0C2E" w:rsidRPr="00371D13" w:rsidRDefault="007E0C2E" w:rsidP="003C2F52">
      <w:pPr>
        <w:pStyle w:val="Default"/>
        <w:jc w:val="both"/>
        <w:rPr>
          <w:rFonts w:ascii="Arial" w:hAnsi="Arial" w:cs="Arial"/>
          <w:b/>
          <w:color w:val="FF0000"/>
          <w:sz w:val="22"/>
          <w:szCs w:val="22"/>
        </w:rPr>
      </w:pPr>
    </w:p>
    <w:p w14:paraId="6ABEB264" w14:textId="4B133E50" w:rsidR="00ED48B1" w:rsidRDefault="00ED48B1" w:rsidP="003C2F52">
      <w:pPr>
        <w:pStyle w:val="Default"/>
        <w:jc w:val="both"/>
        <w:rPr>
          <w:rFonts w:ascii="Arial" w:hAnsi="Arial" w:cs="Arial"/>
          <w:b/>
          <w:color w:val="000000" w:themeColor="text1"/>
          <w:sz w:val="22"/>
          <w:szCs w:val="22"/>
        </w:rPr>
      </w:pPr>
      <w:r>
        <w:rPr>
          <w:noProof/>
        </w:rPr>
        <w:drawing>
          <wp:inline distT="0" distB="0" distL="0" distR="0" wp14:anchorId="3C4A4FDD" wp14:editId="49AABD61">
            <wp:extent cx="3048000" cy="2247900"/>
            <wp:effectExtent l="0" t="0" r="0" b="0"/>
            <wp:docPr id="4" name="Chart 4">
              <a:extLst xmlns:a="http://schemas.openxmlformats.org/drawingml/2006/main">
                <a:ext uri="{FF2B5EF4-FFF2-40B4-BE49-F238E27FC236}">
                  <a16:creationId xmlns:a16="http://schemas.microsoft.com/office/drawing/2014/main" id="{4BA31255-8ED9-4841-A69D-5572789D16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drawing>
          <wp:anchor distT="0" distB="0" distL="114300" distR="114300" simplePos="0" relativeHeight="251684864" behindDoc="0" locked="0" layoutInCell="1" allowOverlap="1" wp14:anchorId="4F2EA4FE" wp14:editId="197A8233">
            <wp:simplePos x="361950" y="1714500"/>
            <wp:positionH relativeFrom="column">
              <wp:align>left</wp:align>
            </wp:positionH>
            <wp:positionV relativeFrom="paragraph">
              <wp:align>top</wp:align>
            </wp:positionV>
            <wp:extent cx="2886075" cy="2257425"/>
            <wp:effectExtent l="0" t="0" r="9525" b="9525"/>
            <wp:wrapSquare wrapText="bothSides"/>
            <wp:docPr id="3" name="Chart 3">
              <a:extLst xmlns:a="http://schemas.openxmlformats.org/drawingml/2006/main">
                <a:ext uri="{FF2B5EF4-FFF2-40B4-BE49-F238E27FC236}">
                  <a16:creationId xmlns:a16="http://schemas.microsoft.com/office/drawing/2014/main" id="{2252A999-458F-4B51-9DE1-57B0E0BDA9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13CEEB4" w14:textId="7695468D" w:rsidR="000F0C04" w:rsidRPr="0062590D" w:rsidRDefault="00ED48B1" w:rsidP="003C2F52">
      <w:pPr>
        <w:pStyle w:val="Default"/>
        <w:jc w:val="both"/>
        <w:rPr>
          <w:rFonts w:ascii="Arial" w:hAnsi="Arial" w:cs="Arial"/>
          <w:color w:val="FF0000"/>
          <w:sz w:val="22"/>
          <w:szCs w:val="22"/>
        </w:rPr>
      </w:pPr>
      <w:r>
        <w:rPr>
          <w:rFonts w:ascii="Arial" w:hAnsi="Arial" w:cs="Arial"/>
          <w:b/>
          <w:color w:val="000000" w:themeColor="text1"/>
          <w:sz w:val="22"/>
          <w:szCs w:val="22"/>
        </w:rPr>
        <w:br w:type="textWrapping" w:clear="all"/>
      </w:r>
      <w:r w:rsidR="007E0C2E" w:rsidRPr="003C2F52">
        <w:rPr>
          <w:rFonts w:cs="Arial"/>
          <w:b/>
          <w:noProof/>
          <w:color w:val="000000" w:themeColor="text1"/>
          <w:szCs w:val="22"/>
          <w:lang w:eastAsia="en-GB"/>
        </w:rPr>
        <mc:AlternateContent>
          <mc:Choice Requires="wps">
            <w:drawing>
              <wp:anchor distT="45720" distB="45720" distL="114300" distR="114300" simplePos="0" relativeHeight="251678720" behindDoc="0" locked="0" layoutInCell="1" allowOverlap="1" wp14:anchorId="731191CE" wp14:editId="04137A49">
                <wp:simplePos x="0" y="0"/>
                <wp:positionH relativeFrom="margin">
                  <wp:align>right</wp:align>
                </wp:positionH>
                <wp:positionV relativeFrom="paragraph">
                  <wp:posOffset>238700</wp:posOffset>
                </wp:positionV>
                <wp:extent cx="6828155" cy="1404620"/>
                <wp:effectExtent l="0" t="0" r="10795"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155" cy="1404620"/>
                        </a:xfrm>
                        <a:prstGeom prst="rect">
                          <a:avLst/>
                        </a:prstGeom>
                        <a:noFill/>
                        <a:ln w="9525">
                          <a:solidFill>
                            <a:schemeClr val="tx1">
                              <a:lumMod val="50000"/>
                              <a:lumOff val="50000"/>
                            </a:schemeClr>
                          </a:solidFill>
                          <a:miter lim="800000"/>
                          <a:headEnd/>
                          <a:tailEnd/>
                        </a:ln>
                      </wps:spPr>
                      <wps:txbx>
                        <w:txbxContent>
                          <w:p w14:paraId="0914D1D5" w14:textId="77777777" w:rsidR="00E26517" w:rsidRPr="003B36DB" w:rsidRDefault="00414385" w:rsidP="00E26517">
                            <w:r>
                              <w:rPr>
                                <w:szCs w:val="18"/>
                              </w:rPr>
                              <w:t>B</w:t>
                            </w:r>
                            <w:r w:rsidR="002A1D80">
                              <w:rPr>
                                <w:szCs w:val="18"/>
                              </w:rPr>
                              <w:t>oth</w:t>
                            </w:r>
                            <w:r w:rsidR="00CA31C6" w:rsidRPr="006B2869">
                              <w:rPr>
                                <w:szCs w:val="18"/>
                              </w:rPr>
                              <w:t xml:space="preserve"> our Mean and Median measures indicate that we have a pay gap where women have a lower average hourly rate than their male colleagues.</w:t>
                            </w:r>
                            <w:r>
                              <w:rPr>
                                <w:szCs w:val="18"/>
                              </w:rPr>
                              <w:t xml:space="preserve"> </w:t>
                            </w:r>
                            <w:r w:rsidR="00E26517">
                              <w:t>A</w:t>
                            </w:r>
                            <w:r w:rsidR="00E26517" w:rsidRPr="003B36DB">
                              <w:t xml:space="preserve"> reduction in On-call demand at the start of the Covid-19 pandemic</w:t>
                            </w:r>
                            <w:r w:rsidR="00E26517">
                              <w:t xml:space="preserve"> </w:t>
                            </w:r>
                            <w:r w:rsidR="00E26517" w:rsidRPr="003B36DB">
                              <w:t>creat</w:t>
                            </w:r>
                            <w:r w:rsidR="00E26517">
                              <w:t>ed</w:t>
                            </w:r>
                            <w:r w:rsidR="00E26517" w:rsidRPr="003B36DB">
                              <w:t xml:space="preserve"> an increased pay gap in 2020 data</w:t>
                            </w:r>
                            <w:r w:rsidR="00E26517">
                              <w:t xml:space="preserve"> due to the impact of fewer hours recorded against earnings.</w:t>
                            </w:r>
                            <w:r w:rsidR="00E26517" w:rsidRPr="003B36DB">
                              <w:t xml:space="preserve"> The reduction in the pay gap for 2021 </w:t>
                            </w:r>
                            <w:r w:rsidR="00E26517">
                              <w:t xml:space="preserve">follows a return to standard demand. </w:t>
                            </w:r>
                          </w:p>
                          <w:p w14:paraId="21F94687" w14:textId="4F394458" w:rsidR="006B2869" w:rsidRPr="006B2869" w:rsidRDefault="006B2869">
                            <w:pPr>
                              <w:rPr>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1191CE" id="_x0000_t202" coordsize="21600,21600" o:spt="202" path="m,l,21600r21600,l21600,xe">
                <v:stroke joinstyle="miter"/>
                <v:path gradientshapeok="t" o:connecttype="rect"/>
              </v:shapetype>
              <v:shape id="Text Box 2" o:spid="_x0000_s1026" type="#_x0000_t202" style="position:absolute;left:0;text-align:left;margin-left:486.45pt;margin-top:18.8pt;width:537.65pt;height:110.6pt;z-index:2516787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" filled="f" strokecolor="gray [1629]">
                <v:textbox style="mso-fit-shape-to-text:t">
                  <w:txbxContent>
                    <w:p w14:paraId="0914D1D5" w14:textId="77777777" w:rsidR="00E26517" w:rsidRPr="003B36DB" w:rsidRDefault="00414385" w:rsidP="00E26517">
                      <w:r>
                        <w:rPr>
                          <w:szCs w:val="18"/>
                        </w:rPr>
                        <w:t>B</w:t>
                      </w:r>
                      <w:r w:rsidR="002A1D80">
                        <w:rPr>
                          <w:szCs w:val="18"/>
                        </w:rPr>
                        <w:t>oth</w:t>
                      </w:r>
                      <w:r w:rsidR="00CA31C6" w:rsidRPr="006B2869">
                        <w:rPr>
                          <w:szCs w:val="18"/>
                        </w:rPr>
                        <w:t xml:space="preserve"> our Mean and Median measures indicate that we have a pay gap where women have a lower average hourly rate than their male colleagues.</w:t>
                      </w:r>
                      <w:r>
                        <w:rPr>
                          <w:szCs w:val="18"/>
                        </w:rPr>
                        <w:t xml:space="preserve"> </w:t>
                      </w:r>
                      <w:r w:rsidR="00E26517">
                        <w:t>A</w:t>
                      </w:r>
                      <w:r w:rsidR="00E26517" w:rsidRPr="003B36DB">
                        <w:t xml:space="preserve"> reduction in On-call demand at the start of the Covid-19 pandemic</w:t>
                      </w:r>
                      <w:r w:rsidR="00E26517">
                        <w:t xml:space="preserve"> </w:t>
                      </w:r>
                      <w:r w:rsidR="00E26517" w:rsidRPr="003B36DB">
                        <w:t>creat</w:t>
                      </w:r>
                      <w:r w:rsidR="00E26517">
                        <w:t>ed</w:t>
                      </w:r>
                      <w:r w:rsidR="00E26517" w:rsidRPr="003B36DB">
                        <w:t xml:space="preserve"> an increased pay gap in 2020 data</w:t>
                      </w:r>
                      <w:r w:rsidR="00E26517">
                        <w:t xml:space="preserve"> due to the impact of fewer hours recorded against earnings.</w:t>
                      </w:r>
                      <w:r w:rsidR="00E26517" w:rsidRPr="003B36DB">
                        <w:t xml:space="preserve"> The reduction in the pay gap for 2021 </w:t>
                      </w:r>
                      <w:r w:rsidR="00E26517">
                        <w:t xml:space="preserve">follows a return to standard demand. </w:t>
                      </w:r>
                    </w:p>
                    <w:p w14:paraId="21F94687" w14:textId="4F394458" w:rsidR="006B2869" w:rsidRPr="006B2869" w:rsidRDefault="006B2869">
                      <w:pPr>
                        <w:rPr>
                          <w:szCs w:val="18"/>
                        </w:rPr>
                      </w:pPr>
                    </w:p>
                  </w:txbxContent>
                </v:textbox>
                <w10:wrap type="square" anchorx="margin"/>
              </v:shape>
            </w:pict>
          </mc:Fallback>
        </mc:AlternateContent>
      </w:r>
      <w:r w:rsidR="003C2F52">
        <w:rPr>
          <w:rFonts w:ascii="Arial" w:hAnsi="Arial" w:cs="Arial"/>
          <w:b/>
          <w:color w:val="000000" w:themeColor="text1"/>
          <w:sz w:val="22"/>
          <w:szCs w:val="22"/>
        </w:rPr>
        <w:t xml:space="preserve">                                                                               </w:t>
      </w:r>
    </w:p>
    <w:p w14:paraId="2838706F" w14:textId="77777777" w:rsidR="00741BC8" w:rsidRPr="007E0C2E" w:rsidRDefault="00741BC8" w:rsidP="000C2E0E">
      <w:pPr>
        <w:spacing w:line="276" w:lineRule="auto"/>
        <w:rPr>
          <w:rFonts w:cs="Arial"/>
          <w:b/>
          <w:szCs w:val="22"/>
        </w:rPr>
      </w:pPr>
    </w:p>
    <w:p w14:paraId="183E292B" w14:textId="44610AEE" w:rsidR="00825483" w:rsidRPr="003A70B9" w:rsidRDefault="00825483" w:rsidP="000C2E0E">
      <w:pPr>
        <w:spacing w:line="276" w:lineRule="auto"/>
        <w:rPr>
          <w:rFonts w:cs="Arial"/>
          <w:b/>
          <w:szCs w:val="22"/>
        </w:rPr>
      </w:pPr>
      <w:r w:rsidRPr="003A70B9">
        <w:rPr>
          <w:rFonts w:cs="Arial"/>
          <w:b/>
          <w:szCs w:val="22"/>
        </w:rPr>
        <w:t>Quartile</w:t>
      </w:r>
      <w:r w:rsidR="003A70B9" w:rsidRPr="003A70B9">
        <w:rPr>
          <w:rFonts w:cs="Arial"/>
          <w:b/>
          <w:szCs w:val="22"/>
        </w:rPr>
        <w:t>s</w:t>
      </w:r>
    </w:p>
    <w:p w14:paraId="23BE1E1B" w14:textId="660C84E8" w:rsidR="007E0C2E" w:rsidRDefault="007E0C2E" w:rsidP="00837784">
      <w:pPr>
        <w:spacing w:line="276" w:lineRule="auto"/>
        <w:rPr>
          <w:noProof/>
          <w:lang w:eastAsia="en-GB"/>
        </w:rPr>
      </w:pPr>
    </w:p>
    <w:p w14:paraId="0953B544" w14:textId="3D533D74" w:rsidR="003A70B9" w:rsidRDefault="003A70B9" w:rsidP="00970152">
      <w:pPr>
        <w:spacing w:line="276" w:lineRule="auto"/>
        <w:jc w:val="center"/>
        <w:rPr>
          <w:noProof/>
          <w:lang w:eastAsia="en-GB"/>
        </w:rPr>
      </w:pPr>
      <w:r>
        <w:rPr>
          <w:noProof/>
        </w:rPr>
        <w:drawing>
          <wp:inline distT="0" distB="0" distL="0" distR="0" wp14:anchorId="3D6962CF" wp14:editId="4C0CB238">
            <wp:extent cx="5907819" cy="2393343"/>
            <wp:effectExtent l="0" t="0" r="17145" b="6985"/>
            <wp:docPr id="6" name="Chart 6">
              <a:extLst xmlns:a="http://schemas.openxmlformats.org/drawingml/2006/main">
                <a:ext uri="{FF2B5EF4-FFF2-40B4-BE49-F238E27FC236}">
                  <a16:creationId xmlns:a16="http://schemas.microsoft.com/office/drawing/2014/main" id="{5E055861-E493-425F-8CB6-A1959D5053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96604F" w14:textId="000DC08E" w:rsidR="00C55A4D" w:rsidRDefault="003A70B9" w:rsidP="00837784">
      <w:pPr>
        <w:spacing w:line="276" w:lineRule="auto"/>
        <w:rPr>
          <w:noProof/>
          <w:lang w:eastAsia="en-GB"/>
        </w:rPr>
      </w:pPr>
      <w:r w:rsidRPr="003A70B9">
        <w:rPr>
          <w:noProof/>
        </w:rPr>
        <w:t xml:space="preserve"> </w:t>
      </w:r>
    </w:p>
    <w:tbl>
      <w:tblPr>
        <w:tblW w:w="10950" w:type="dxa"/>
        <w:tblInd w:w="-318" w:type="dxa"/>
        <w:tblLayout w:type="fixed"/>
        <w:tblLook w:val="0000" w:firstRow="0" w:lastRow="0" w:firstColumn="0" w:lastColumn="0" w:noHBand="0" w:noVBand="0"/>
      </w:tblPr>
      <w:tblGrid>
        <w:gridCol w:w="10950"/>
      </w:tblGrid>
      <w:tr w:rsidR="008C41E7" w:rsidRPr="00FA0E24" w14:paraId="477CC4BF" w14:textId="77777777" w:rsidTr="00EF5BC7">
        <w:tc>
          <w:tcPr>
            <w:tcW w:w="10950" w:type="dxa"/>
          </w:tcPr>
          <w:p w14:paraId="6FF99C39" w14:textId="2AA0C674" w:rsidR="003C2F52" w:rsidRPr="00970152" w:rsidRDefault="003A70B9" w:rsidP="00970152">
            <w:pPr>
              <w:rPr>
                <w:szCs w:val="18"/>
              </w:rPr>
            </w:pPr>
            <w:r w:rsidRPr="00970152">
              <w:rPr>
                <w:noProof/>
                <w:szCs w:val="18"/>
              </w:rPr>
              <mc:AlternateContent>
                <mc:Choice Requires="wps">
                  <w:drawing>
                    <wp:anchor distT="45720" distB="45720" distL="114300" distR="114300" simplePos="0" relativeHeight="251680768" behindDoc="0" locked="0" layoutInCell="1" allowOverlap="1" wp14:anchorId="7A46EC1A" wp14:editId="76D86A22">
                      <wp:simplePos x="0" y="0"/>
                      <wp:positionH relativeFrom="margin">
                        <wp:posOffset>48895</wp:posOffset>
                      </wp:positionH>
                      <wp:positionV relativeFrom="paragraph">
                        <wp:posOffset>53975</wp:posOffset>
                      </wp:positionV>
                      <wp:extent cx="6743700" cy="1404620"/>
                      <wp:effectExtent l="0" t="0" r="19050" b="241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04620"/>
                              </a:xfrm>
                              <a:prstGeom prst="rect">
                                <a:avLst/>
                              </a:prstGeom>
                              <a:noFill/>
                              <a:ln w="9525">
                                <a:solidFill>
                                  <a:schemeClr val="tx1">
                                    <a:lumMod val="50000"/>
                                    <a:lumOff val="50000"/>
                                  </a:schemeClr>
                                </a:solidFill>
                                <a:miter lim="800000"/>
                                <a:headEnd/>
                                <a:tailEnd/>
                              </a:ln>
                            </wps:spPr>
                            <wps:txbx>
                              <w:txbxContent>
                                <w:p w14:paraId="4A079E05" w14:textId="279A9148" w:rsidR="003C2F52" w:rsidRPr="006B2869" w:rsidRDefault="0038131C" w:rsidP="003C2F52">
                                  <w:pPr>
                                    <w:rPr>
                                      <w:szCs w:val="18"/>
                                    </w:rPr>
                                  </w:pPr>
                                  <w:r w:rsidRPr="006B2869">
                                    <w:rPr>
                                      <w:szCs w:val="18"/>
                                    </w:rPr>
                                    <w:t xml:space="preserve">The quartile measure provides insight into the role structure of the service as well as progression of female and male employees. </w:t>
                                  </w:r>
                                  <w:r w:rsidR="0008616E" w:rsidRPr="006B2869">
                                    <w:rPr>
                                      <w:szCs w:val="18"/>
                                    </w:rPr>
                                    <w:t xml:space="preserve">The graph above </w:t>
                                  </w:r>
                                  <w:r w:rsidR="009A03D8" w:rsidRPr="006B2869">
                                    <w:rPr>
                                      <w:szCs w:val="18"/>
                                    </w:rPr>
                                    <w:t xml:space="preserve">shows that the pay gap we have will be largely driven by the proportion of women we have in the lowest band. </w:t>
                                  </w:r>
                                  <w:r w:rsidR="00970152" w:rsidRPr="00970152">
                                    <w:rPr>
                                      <w:szCs w:val="18"/>
                                    </w:rPr>
                                    <w:t xml:space="preserve">In 2021 there </w:t>
                                  </w:r>
                                  <w:r w:rsidR="00970152">
                                    <w:rPr>
                                      <w:szCs w:val="18"/>
                                    </w:rPr>
                                    <w:t>w</w:t>
                                  </w:r>
                                  <w:r w:rsidR="00970152" w:rsidRPr="00970152">
                                    <w:rPr>
                                      <w:szCs w:val="18"/>
                                    </w:rPr>
                                    <w:t>as been an increase in female representation in the two higher</w:t>
                                  </w:r>
                                  <w:r w:rsidR="00970152">
                                    <w:rPr>
                                      <w:szCs w:val="18"/>
                                    </w:rPr>
                                    <w:t xml:space="preserve"> paid</w:t>
                                  </w:r>
                                  <w:r w:rsidR="00970152" w:rsidRPr="00970152">
                                    <w:rPr>
                                      <w:szCs w:val="18"/>
                                    </w:rPr>
                                    <w:t xml:space="preserve"> quartiles (C and D), and a decrease in female representation in the </w:t>
                                  </w:r>
                                  <w:r w:rsidR="00FD3FEC">
                                    <w:rPr>
                                      <w:szCs w:val="18"/>
                                    </w:rPr>
                                    <w:t>t</w:t>
                                  </w:r>
                                  <w:r w:rsidR="00970152" w:rsidRPr="00970152">
                                    <w:rPr>
                                      <w:szCs w:val="18"/>
                                    </w:rPr>
                                    <w:t>wo lower quartiles (A and B)</w:t>
                                  </w:r>
                                  <w:r w:rsidR="001A72F2">
                                    <w:rPr>
                                      <w:szCs w:val="18"/>
                                    </w:rPr>
                                    <w:t>.</w:t>
                                  </w:r>
                                  <w:r w:rsidR="009C1AB9">
                                    <w:rPr>
                                      <w:szCs w:val="18"/>
                                    </w:rPr>
                                    <w:t xml:space="preserve"> </w:t>
                                  </w:r>
                                  <w:r w:rsidR="001A72F2">
                                    <w:rPr>
                                      <w:szCs w:val="18"/>
                                    </w:rPr>
                                    <w:t>This</w:t>
                                  </w:r>
                                  <w:r w:rsidR="009C1AB9">
                                    <w:rPr>
                                      <w:szCs w:val="18"/>
                                    </w:rPr>
                                    <w:t xml:space="preserve"> indicate</w:t>
                                  </w:r>
                                  <w:r w:rsidR="006D1421">
                                    <w:rPr>
                                      <w:szCs w:val="18"/>
                                    </w:rPr>
                                    <w:t>s</w:t>
                                  </w:r>
                                  <w:r w:rsidR="009C1AB9">
                                    <w:rPr>
                                      <w:szCs w:val="18"/>
                                    </w:rPr>
                                    <w:t xml:space="preserve"> progression</w:t>
                                  </w:r>
                                  <w:r w:rsidR="001A72F2">
                                    <w:rPr>
                                      <w:szCs w:val="18"/>
                                    </w:rPr>
                                    <w:t xml:space="preserve"> of female employees, most likely due to changes in Corporate Staff including secondments, </w:t>
                                  </w:r>
                                  <w:r w:rsidR="000328E7">
                                    <w:rPr>
                                      <w:szCs w:val="18"/>
                                    </w:rPr>
                                    <w:t>restructures,</w:t>
                                  </w:r>
                                  <w:r w:rsidR="001A72F2">
                                    <w:rPr>
                                      <w:szCs w:val="18"/>
                                    </w:rPr>
                                    <w:t xml:space="preserve"> and regrading</w:t>
                                  </w:r>
                                  <w:r w:rsidR="00970152" w:rsidRPr="00970152">
                                    <w:rPr>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46EC1A" id="_x0000_s1027" type="#_x0000_t202" style="position:absolute;margin-left:3.85pt;margin-top:4.25pt;width:531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" filled="f" strokecolor="gray [1629]">
                      <v:textbox style="mso-fit-shape-to-text:t">
                        <w:txbxContent>
                          <w:p w14:paraId="4A079E05" w14:textId="279A9148" w:rsidR="003C2F52" w:rsidRPr="006B2869" w:rsidRDefault="0038131C" w:rsidP="003C2F52">
                            <w:pPr>
                              <w:rPr>
                                <w:szCs w:val="18"/>
                              </w:rPr>
                            </w:pPr>
                            <w:r w:rsidRPr="006B2869">
                              <w:rPr>
                                <w:szCs w:val="18"/>
                              </w:rPr>
                              <w:t xml:space="preserve">The quartile measure provides insight into the role structure of the service as well as progression of female and male employees. </w:t>
                            </w:r>
                            <w:r w:rsidR="0008616E" w:rsidRPr="006B2869">
                              <w:rPr>
                                <w:szCs w:val="18"/>
                              </w:rPr>
                              <w:t xml:space="preserve">The graph above </w:t>
                            </w:r>
                            <w:r w:rsidR="009A03D8" w:rsidRPr="006B2869">
                              <w:rPr>
                                <w:szCs w:val="18"/>
                              </w:rPr>
                              <w:t xml:space="preserve">shows that the pay gap we have will be largely driven by the proportion of women we have in the lowest band. </w:t>
                            </w:r>
                            <w:r w:rsidR="00970152" w:rsidRPr="00970152">
                              <w:rPr>
                                <w:szCs w:val="18"/>
                              </w:rPr>
                              <w:t xml:space="preserve">In 2021 there </w:t>
                            </w:r>
                            <w:r w:rsidR="00970152">
                              <w:rPr>
                                <w:szCs w:val="18"/>
                              </w:rPr>
                              <w:t>w</w:t>
                            </w:r>
                            <w:r w:rsidR="00970152" w:rsidRPr="00970152">
                              <w:rPr>
                                <w:szCs w:val="18"/>
                              </w:rPr>
                              <w:t>as been an increase in female representation in the two higher</w:t>
                            </w:r>
                            <w:r w:rsidR="00970152">
                              <w:rPr>
                                <w:szCs w:val="18"/>
                              </w:rPr>
                              <w:t xml:space="preserve"> paid</w:t>
                            </w:r>
                            <w:r w:rsidR="00970152" w:rsidRPr="00970152">
                              <w:rPr>
                                <w:szCs w:val="18"/>
                              </w:rPr>
                              <w:t xml:space="preserve"> quartiles (C and D), and a decrease in female representation in the </w:t>
                            </w:r>
                            <w:r w:rsidR="00FD3FEC">
                              <w:rPr>
                                <w:szCs w:val="18"/>
                              </w:rPr>
                              <w:t>t</w:t>
                            </w:r>
                            <w:r w:rsidR="00970152" w:rsidRPr="00970152">
                              <w:rPr>
                                <w:szCs w:val="18"/>
                              </w:rPr>
                              <w:t>wo lower quartiles (A and B)</w:t>
                            </w:r>
                            <w:r w:rsidR="001A72F2">
                              <w:rPr>
                                <w:szCs w:val="18"/>
                              </w:rPr>
                              <w:t>.</w:t>
                            </w:r>
                            <w:r w:rsidR="009C1AB9">
                              <w:rPr>
                                <w:szCs w:val="18"/>
                              </w:rPr>
                              <w:t xml:space="preserve"> </w:t>
                            </w:r>
                            <w:r w:rsidR="001A72F2">
                              <w:rPr>
                                <w:szCs w:val="18"/>
                              </w:rPr>
                              <w:t>This</w:t>
                            </w:r>
                            <w:r w:rsidR="009C1AB9">
                              <w:rPr>
                                <w:szCs w:val="18"/>
                              </w:rPr>
                              <w:t xml:space="preserve"> indicate</w:t>
                            </w:r>
                            <w:r w:rsidR="006D1421">
                              <w:rPr>
                                <w:szCs w:val="18"/>
                              </w:rPr>
                              <w:t>s</w:t>
                            </w:r>
                            <w:r w:rsidR="009C1AB9">
                              <w:rPr>
                                <w:szCs w:val="18"/>
                              </w:rPr>
                              <w:t xml:space="preserve"> progression</w:t>
                            </w:r>
                            <w:r w:rsidR="001A72F2">
                              <w:rPr>
                                <w:szCs w:val="18"/>
                              </w:rPr>
                              <w:t xml:space="preserve"> of female employees, most likely due to changes in Corporate Staff including secondments, </w:t>
                            </w:r>
                            <w:r w:rsidR="000328E7">
                              <w:rPr>
                                <w:szCs w:val="18"/>
                              </w:rPr>
                              <w:t>restructures,</w:t>
                            </w:r>
                            <w:r w:rsidR="001A72F2">
                              <w:rPr>
                                <w:szCs w:val="18"/>
                              </w:rPr>
                              <w:t xml:space="preserve"> and regrading</w:t>
                            </w:r>
                            <w:r w:rsidR="00970152" w:rsidRPr="00970152">
                              <w:rPr>
                                <w:szCs w:val="18"/>
                              </w:rPr>
                              <w:t>.</w:t>
                            </w:r>
                          </w:p>
                        </w:txbxContent>
                      </v:textbox>
                      <w10:wrap type="square" anchorx="margin"/>
                    </v:shape>
                  </w:pict>
                </mc:Fallback>
              </mc:AlternateContent>
            </w:r>
          </w:p>
          <w:p w14:paraId="55EB3BA1" w14:textId="77777777" w:rsidR="007E0C2E" w:rsidRPr="00970152" w:rsidRDefault="007E0C2E" w:rsidP="00970152">
            <w:pPr>
              <w:rPr>
                <w:szCs w:val="18"/>
              </w:rPr>
            </w:pPr>
          </w:p>
          <w:p w14:paraId="3C5B7252" w14:textId="77777777" w:rsidR="007E0C2E" w:rsidRPr="00970152" w:rsidRDefault="007E0C2E" w:rsidP="00970152">
            <w:pPr>
              <w:rPr>
                <w:szCs w:val="18"/>
              </w:rPr>
            </w:pPr>
          </w:p>
          <w:p w14:paraId="1B3D7DAC" w14:textId="1E1DF78C" w:rsidR="007E0C2E" w:rsidRDefault="007E0C2E" w:rsidP="00970152">
            <w:pPr>
              <w:rPr>
                <w:szCs w:val="18"/>
              </w:rPr>
            </w:pPr>
          </w:p>
          <w:p w14:paraId="3A418293" w14:textId="77777777" w:rsidR="007E0C2E" w:rsidRPr="00970152" w:rsidRDefault="007E0C2E" w:rsidP="00970152">
            <w:pPr>
              <w:rPr>
                <w:b/>
                <w:bCs/>
                <w:szCs w:val="18"/>
              </w:rPr>
            </w:pPr>
          </w:p>
          <w:p w14:paraId="70117AE9" w14:textId="4B922025" w:rsidR="00702ED5" w:rsidRPr="00970152" w:rsidRDefault="008C41E7" w:rsidP="00970152">
            <w:pPr>
              <w:rPr>
                <w:szCs w:val="18"/>
              </w:rPr>
            </w:pPr>
            <w:r w:rsidRPr="00970152">
              <w:rPr>
                <w:b/>
                <w:bCs/>
                <w:szCs w:val="18"/>
              </w:rPr>
              <w:t>What are we doing to close the gap?</w:t>
            </w:r>
          </w:p>
          <w:p w14:paraId="519ED525" w14:textId="77777777" w:rsidR="00144F58" w:rsidRPr="00970152" w:rsidRDefault="00144F58" w:rsidP="00970152">
            <w:pPr>
              <w:rPr>
                <w:szCs w:val="18"/>
              </w:rPr>
            </w:pPr>
          </w:p>
          <w:p w14:paraId="3D7F81DE" w14:textId="1928CB22" w:rsidR="009C1AB9" w:rsidRDefault="00144F58" w:rsidP="009C1AB9">
            <w:pPr>
              <w:rPr>
                <w:szCs w:val="18"/>
              </w:rPr>
            </w:pPr>
            <w:r>
              <w:rPr>
                <w:szCs w:val="18"/>
              </w:rPr>
              <w:t>The Authority’s People Strategy 2021 – 2025 sets out key Equality, Diversity and Inclusion priorities</w:t>
            </w:r>
            <w:r w:rsidR="009C1AB9">
              <w:rPr>
                <w:szCs w:val="18"/>
              </w:rPr>
              <w:t xml:space="preserve"> and Organisational Development priorities</w:t>
            </w:r>
            <w:r>
              <w:rPr>
                <w:szCs w:val="18"/>
              </w:rPr>
              <w:t xml:space="preserve"> for the Service</w:t>
            </w:r>
            <w:r w:rsidR="009C1AB9">
              <w:rPr>
                <w:szCs w:val="18"/>
              </w:rPr>
              <w:t xml:space="preserve">. </w:t>
            </w:r>
            <w:r w:rsidR="009C1AB9" w:rsidRPr="00970152">
              <w:rPr>
                <w:szCs w:val="18"/>
              </w:rPr>
              <w:t xml:space="preserve">Utilising the Government Equalities Office </w:t>
            </w:r>
            <w:proofErr w:type="gramStart"/>
            <w:r w:rsidR="009C1AB9" w:rsidRPr="00970152">
              <w:rPr>
                <w:szCs w:val="18"/>
              </w:rPr>
              <w:t>publications</w:t>
            </w:r>
            <w:proofErr w:type="gramEnd"/>
            <w:r w:rsidR="009C1AB9" w:rsidRPr="00970152">
              <w:rPr>
                <w:szCs w:val="18"/>
              </w:rPr>
              <w:t xml:space="preserve"> </w:t>
            </w:r>
            <w:r w:rsidR="009C1AB9">
              <w:rPr>
                <w:szCs w:val="18"/>
              </w:rPr>
              <w:t xml:space="preserve">we </w:t>
            </w:r>
            <w:r w:rsidR="009C1AB9" w:rsidRPr="00970152">
              <w:rPr>
                <w:szCs w:val="18"/>
              </w:rPr>
              <w:t xml:space="preserve">have identified a number of actions we can undertake to </w:t>
            </w:r>
            <w:r w:rsidR="000B0348">
              <w:rPr>
                <w:szCs w:val="18"/>
              </w:rPr>
              <w:t xml:space="preserve">understand and </w:t>
            </w:r>
            <w:r w:rsidR="009C1AB9" w:rsidRPr="00970152">
              <w:rPr>
                <w:szCs w:val="18"/>
              </w:rPr>
              <w:t xml:space="preserve">address the pay gap within ESFRS. </w:t>
            </w:r>
          </w:p>
          <w:p w14:paraId="7F4309D8" w14:textId="77777777" w:rsidR="009C1AB9" w:rsidRDefault="009C1AB9" w:rsidP="009C1AB9">
            <w:pPr>
              <w:rPr>
                <w:szCs w:val="18"/>
              </w:rPr>
            </w:pPr>
          </w:p>
          <w:p w14:paraId="409709F3" w14:textId="37E670F4" w:rsidR="009C1AB9" w:rsidRPr="00970152" w:rsidRDefault="00773EA3" w:rsidP="009C1AB9">
            <w:pPr>
              <w:rPr>
                <w:szCs w:val="18"/>
              </w:rPr>
            </w:pPr>
            <w:r>
              <w:rPr>
                <w:szCs w:val="18"/>
              </w:rPr>
              <w:t>The below</w:t>
            </w:r>
            <w:r w:rsidR="009C1AB9" w:rsidRPr="00970152">
              <w:rPr>
                <w:szCs w:val="18"/>
              </w:rPr>
              <w:t xml:space="preserve"> </w:t>
            </w:r>
            <w:r w:rsidR="009C1AB9">
              <w:rPr>
                <w:szCs w:val="18"/>
              </w:rPr>
              <w:t>sets out a number of these priorities and activities</w:t>
            </w:r>
            <w:r w:rsidR="002E1E3E">
              <w:rPr>
                <w:szCs w:val="18"/>
              </w:rPr>
              <w:t xml:space="preserve"> to close the gap and focus on attraction, recruitment, retention, and progression on women in key areas. This is</w:t>
            </w:r>
            <w:r w:rsidR="009C1AB9">
              <w:rPr>
                <w:szCs w:val="18"/>
              </w:rPr>
              <w:t xml:space="preserve"> kept</w:t>
            </w:r>
            <w:r w:rsidR="009C1AB9" w:rsidRPr="00970152">
              <w:rPr>
                <w:szCs w:val="18"/>
              </w:rPr>
              <w:t xml:space="preserve"> under review through our HR Strategic Group and EDI </w:t>
            </w:r>
            <w:proofErr w:type="gramStart"/>
            <w:r w:rsidR="009C1AB9" w:rsidRPr="00970152">
              <w:rPr>
                <w:szCs w:val="18"/>
              </w:rPr>
              <w:t>Group;</w:t>
            </w:r>
            <w:proofErr w:type="gramEnd"/>
          </w:p>
          <w:p w14:paraId="38D1B31F" w14:textId="57DB5630" w:rsidR="00773EA3" w:rsidRPr="00A8409F" w:rsidRDefault="00773EA3" w:rsidP="00773EA3">
            <w:pPr>
              <w:pStyle w:val="ListParagraph"/>
              <w:numPr>
                <w:ilvl w:val="0"/>
                <w:numId w:val="15"/>
              </w:numPr>
              <w:rPr>
                <w:szCs w:val="18"/>
              </w:rPr>
            </w:pPr>
            <w:bookmarkStart w:id="0" w:name="_Hlk92982193"/>
            <w:r w:rsidRPr="00A8409F">
              <w:rPr>
                <w:szCs w:val="18"/>
              </w:rPr>
              <w:t>Focussing on flexible working options</w:t>
            </w:r>
            <w:r w:rsidR="005A2004">
              <w:rPr>
                <w:szCs w:val="18"/>
              </w:rPr>
              <w:t xml:space="preserve"> -</w:t>
            </w:r>
            <w:r w:rsidRPr="00A8409F">
              <w:rPr>
                <w:szCs w:val="18"/>
              </w:rPr>
              <w:t xml:space="preserve"> </w:t>
            </w:r>
            <w:r w:rsidR="005A2004">
              <w:rPr>
                <w:szCs w:val="18"/>
              </w:rPr>
              <w:t xml:space="preserve">including hybrid working - </w:t>
            </w:r>
            <w:r w:rsidRPr="00A8409F">
              <w:rPr>
                <w:szCs w:val="18"/>
              </w:rPr>
              <w:t xml:space="preserve">to ensure everyone </w:t>
            </w:r>
            <w:proofErr w:type="gramStart"/>
            <w:r w:rsidRPr="00A8409F">
              <w:rPr>
                <w:szCs w:val="18"/>
              </w:rPr>
              <w:t>has the opportunity to</w:t>
            </w:r>
            <w:proofErr w:type="gramEnd"/>
            <w:r w:rsidRPr="00A8409F">
              <w:rPr>
                <w:szCs w:val="18"/>
              </w:rPr>
              <w:t xml:space="preserve"> obtain the roles they want/are capable of. </w:t>
            </w:r>
            <w:r w:rsidR="00037938">
              <w:rPr>
                <w:szCs w:val="18"/>
              </w:rPr>
              <w:t>I</w:t>
            </w:r>
            <w:r w:rsidRPr="00A8409F">
              <w:rPr>
                <w:szCs w:val="18"/>
              </w:rPr>
              <w:t xml:space="preserve">mproving workplace flexibility for men and women is a promising action to reduce the pay gap. Where possible we offer part time and flexible working in our roles, our 2021 data shows that </w:t>
            </w:r>
            <w:r w:rsidRPr="00964A29">
              <w:rPr>
                <w:szCs w:val="18"/>
              </w:rPr>
              <w:t>3</w:t>
            </w:r>
            <w:r w:rsidR="00964A29" w:rsidRPr="00964A29">
              <w:rPr>
                <w:szCs w:val="18"/>
              </w:rPr>
              <w:t>8</w:t>
            </w:r>
            <w:r w:rsidRPr="00964A29">
              <w:rPr>
                <w:szCs w:val="18"/>
              </w:rPr>
              <w:t>%</w:t>
            </w:r>
            <w:r w:rsidRPr="00A8409F">
              <w:rPr>
                <w:szCs w:val="18"/>
              </w:rPr>
              <w:t xml:space="preserve"> of our total female staff were working part time.</w:t>
            </w:r>
          </w:p>
          <w:bookmarkEnd w:id="0"/>
          <w:p w14:paraId="69995FE1" w14:textId="44580CCE" w:rsidR="00970152" w:rsidRPr="00970152" w:rsidRDefault="00970152" w:rsidP="00A8409F">
            <w:pPr>
              <w:pStyle w:val="ListParagraph"/>
              <w:numPr>
                <w:ilvl w:val="0"/>
                <w:numId w:val="15"/>
              </w:numPr>
              <w:rPr>
                <w:szCs w:val="18"/>
              </w:rPr>
            </w:pPr>
            <w:r w:rsidRPr="00970152">
              <w:rPr>
                <w:szCs w:val="18"/>
              </w:rPr>
              <w:t>Support and facilitate the Gender Inclusion Network employee network, whose purpose is to promote equality of opportunity within our workplace</w:t>
            </w:r>
            <w:r w:rsidR="002E1E3E">
              <w:rPr>
                <w:szCs w:val="18"/>
              </w:rPr>
              <w:t xml:space="preserve"> -</w:t>
            </w:r>
            <w:r w:rsidR="00A8409F">
              <w:rPr>
                <w:szCs w:val="18"/>
              </w:rPr>
              <w:t xml:space="preserve"> 2022 priorities include career events </w:t>
            </w:r>
          </w:p>
          <w:p w14:paraId="62233CE7" w14:textId="5128A8CA" w:rsidR="00A8409F" w:rsidRPr="00970152" w:rsidRDefault="00E26D6E" w:rsidP="00A8409F">
            <w:pPr>
              <w:pStyle w:val="ListParagraph"/>
              <w:numPr>
                <w:ilvl w:val="0"/>
                <w:numId w:val="15"/>
              </w:numPr>
              <w:rPr>
                <w:szCs w:val="18"/>
              </w:rPr>
            </w:pPr>
            <w:r>
              <w:rPr>
                <w:szCs w:val="18"/>
              </w:rPr>
              <w:t xml:space="preserve">Supporting </w:t>
            </w:r>
            <w:r w:rsidR="00A8409F" w:rsidRPr="00970152">
              <w:rPr>
                <w:szCs w:val="18"/>
              </w:rPr>
              <w:t>HeForShe advocates to encourage male allies to promote female equal opportunities for development and retention</w:t>
            </w:r>
          </w:p>
          <w:p w14:paraId="525F75B5" w14:textId="72E3CC63" w:rsidR="00A8409F" w:rsidRDefault="00A8409F" w:rsidP="00A8409F">
            <w:pPr>
              <w:pStyle w:val="ListParagraph"/>
              <w:numPr>
                <w:ilvl w:val="0"/>
                <w:numId w:val="15"/>
              </w:numPr>
              <w:rPr>
                <w:szCs w:val="18"/>
              </w:rPr>
            </w:pPr>
            <w:r w:rsidRPr="00970152">
              <w:rPr>
                <w:szCs w:val="18"/>
              </w:rPr>
              <w:t>Sharing best practice with our regional partners to develop a joined up and systematic approach to reduce the gap</w:t>
            </w:r>
            <w:r>
              <w:rPr>
                <w:szCs w:val="18"/>
              </w:rPr>
              <w:t>, in 2021 this focused on the menopause and positive action. In 2022 the immediate priority is career development for International Women’s Day.</w:t>
            </w:r>
          </w:p>
          <w:p w14:paraId="564C4388" w14:textId="304311DE" w:rsidR="00A8409F" w:rsidRPr="00970152" w:rsidRDefault="002E1E3E" w:rsidP="00A8409F">
            <w:pPr>
              <w:pStyle w:val="ListParagraph"/>
              <w:numPr>
                <w:ilvl w:val="0"/>
                <w:numId w:val="15"/>
              </w:numPr>
              <w:rPr>
                <w:szCs w:val="18"/>
              </w:rPr>
            </w:pPr>
            <w:r>
              <w:rPr>
                <w:szCs w:val="18"/>
              </w:rPr>
              <w:t xml:space="preserve">Strengthening our Equality Impact Analysis process to better consider the impact of our policies and processes on all protected groups, including women. Engaging with </w:t>
            </w:r>
            <w:r w:rsidR="00A8409F" w:rsidRPr="00970152">
              <w:rPr>
                <w:szCs w:val="18"/>
              </w:rPr>
              <w:t>Menopause working group</w:t>
            </w:r>
            <w:r w:rsidR="00773EA3">
              <w:rPr>
                <w:szCs w:val="18"/>
              </w:rPr>
              <w:t xml:space="preserve"> and relevant employee networks</w:t>
            </w:r>
            <w:r w:rsidR="00A8409F" w:rsidRPr="00970152">
              <w:rPr>
                <w:szCs w:val="18"/>
              </w:rPr>
              <w:t xml:space="preserve"> to improve the workplace for females and promote retention</w:t>
            </w:r>
            <w:r w:rsidR="00773EA3">
              <w:rPr>
                <w:szCs w:val="18"/>
              </w:rPr>
              <w:t xml:space="preserve"> as part of reviews.</w:t>
            </w:r>
          </w:p>
          <w:p w14:paraId="3C00231D" w14:textId="77777777" w:rsidR="00970152" w:rsidRPr="00970152" w:rsidRDefault="00970152" w:rsidP="00A8409F">
            <w:pPr>
              <w:pStyle w:val="ListParagraph"/>
              <w:numPr>
                <w:ilvl w:val="0"/>
                <w:numId w:val="15"/>
              </w:numPr>
              <w:rPr>
                <w:szCs w:val="18"/>
              </w:rPr>
            </w:pPr>
            <w:r w:rsidRPr="00970152">
              <w:rPr>
                <w:szCs w:val="18"/>
              </w:rPr>
              <w:t xml:space="preserve">Partnership with Girls Network, to promote female professional development and attraction to our sector, </w:t>
            </w:r>
          </w:p>
          <w:p w14:paraId="6C4FEA59" w14:textId="6771D1E4" w:rsidR="00970152" w:rsidRPr="00970152" w:rsidRDefault="00970152" w:rsidP="00A8409F">
            <w:pPr>
              <w:pStyle w:val="ListParagraph"/>
              <w:numPr>
                <w:ilvl w:val="0"/>
                <w:numId w:val="15"/>
              </w:numPr>
              <w:rPr>
                <w:szCs w:val="18"/>
              </w:rPr>
            </w:pPr>
            <w:r w:rsidRPr="00970152">
              <w:rPr>
                <w:szCs w:val="18"/>
              </w:rPr>
              <w:t xml:space="preserve">Promote our Sistership – Lewes FC’s equality partnership, to promote professional development and attraction to our sector, </w:t>
            </w:r>
          </w:p>
          <w:p w14:paraId="2DF42B04" w14:textId="5AF71EEC" w:rsidR="003050D8" w:rsidRDefault="009C1AB9" w:rsidP="003050D8">
            <w:pPr>
              <w:pStyle w:val="ListParagraph"/>
              <w:numPr>
                <w:ilvl w:val="0"/>
                <w:numId w:val="15"/>
              </w:numPr>
              <w:rPr>
                <w:szCs w:val="18"/>
              </w:rPr>
            </w:pPr>
            <w:r>
              <w:rPr>
                <w:szCs w:val="18"/>
              </w:rPr>
              <w:t>Utilising the NFCC Equality of Impact to Services and Employment documents w</w:t>
            </w:r>
            <w:r w:rsidR="00A8409F">
              <w:rPr>
                <w:szCs w:val="18"/>
              </w:rPr>
              <w:t>h</w:t>
            </w:r>
            <w:r>
              <w:rPr>
                <w:szCs w:val="18"/>
              </w:rPr>
              <w:t>ere appropriate</w:t>
            </w:r>
          </w:p>
          <w:p w14:paraId="556A21C5" w14:textId="6D58085C" w:rsidR="003050D8" w:rsidRPr="003050D8" w:rsidRDefault="00EB2199" w:rsidP="003050D8">
            <w:pPr>
              <w:pStyle w:val="ListParagraph"/>
              <w:numPr>
                <w:ilvl w:val="0"/>
                <w:numId w:val="15"/>
              </w:numPr>
              <w:rPr>
                <w:szCs w:val="18"/>
              </w:rPr>
            </w:pPr>
            <w:r>
              <w:rPr>
                <w:szCs w:val="18"/>
              </w:rPr>
              <w:t>Introduction of Fire Cadets which may influence and engage young people (aged 13 – 17) to consider a career in the fire service who may not have previously, including young women and girls</w:t>
            </w:r>
          </w:p>
          <w:p w14:paraId="0302E8F0" w14:textId="5EB54E3A" w:rsidR="005A2004" w:rsidRDefault="005A2004" w:rsidP="003050D8">
            <w:pPr>
              <w:rPr>
                <w:szCs w:val="18"/>
              </w:rPr>
            </w:pPr>
          </w:p>
          <w:p w14:paraId="0DAE5979" w14:textId="77777777" w:rsidR="003050D8" w:rsidRPr="00970152" w:rsidRDefault="003050D8" w:rsidP="003050D8">
            <w:pPr>
              <w:rPr>
                <w:szCs w:val="18"/>
              </w:rPr>
            </w:pPr>
            <w:r>
              <w:rPr>
                <w:szCs w:val="18"/>
              </w:rPr>
              <w:t>People Strategy commitments:</w:t>
            </w:r>
          </w:p>
          <w:p w14:paraId="74AB4268" w14:textId="77777777" w:rsidR="003050D8" w:rsidRPr="00970152" w:rsidRDefault="003050D8" w:rsidP="003050D8">
            <w:pPr>
              <w:pStyle w:val="ListParagraph"/>
              <w:numPr>
                <w:ilvl w:val="0"/>
                <w:numId w:val="15"/>
              </w:numPr>
              <w:rPr>
                <w:szCs w:val="18"/>
              </w:rPr>
            </w:pPr>
            <w:r w:rsidRPr="00970152">
              <w:rPr>
                <w:szCs w:val="18"/>
              </w:rPr>
              <w:t xml:space="preserve">Continue work on identifying, </w:t>
            </w:r>
            <w:proofErr w:type="gramStart"/>
            <w:r w:rsidRPr="00970152">
              <w:rPr>
                <w:szCs w:val="18"/>
              </w:rPr>
              <w:t>understanding</w:t>
            </w:r>
            <w:proofErr w:type="gramEnd"/>
            <w:r w:rsidRPr="00970152">
              <w:rPr>
                <w:szCs w:val="18"/>
              </w:rPr>
              <w:t xml:space="preserve"> and reducing the pay gaps by scrutinising the Gender Pay Gap report and making recommendations.</w:t>
            </w:r>
          </w:p>
          <w:p w14:paraId="691F8C9C" w14:textId="77777777" w:rsidR="003050D8" w:rsidRPr="00A8409F" w:rsidRDefault="003050D8" w:rsidP="003050D8">
            <w:pPr>
              <w:pStyle w:val="ListParagraph"/>
              <w:numPr>
                <w:ilvl w:val="0"/>
                <w:numId w:val="15"/>
              </w:numPr>
              <w:rPr>
                <w:szCs w:val="18"/>
              </w:rPr>
            </w:pPr>
            <w:r w:rsidRPr="00970152">
              <w:rPr>
                <w:szCs w:val="18"/>
              </w:rPr>
              <w:t>Develop and implement a continuous approach to positive action for the Service, starting with Firefighter recruitment</w:t>
            </w:r>
            <w:r>
              <w:rPr>
                <w:szCs w:val="18"/>
              </w:rPr>
              <w:t xml:space="preserve"> in 2021 including females are a targeted underrepresented group </w:t>
            </w:r>
          </w:p>
          <w:p w14:paraId="7A622E2F" w14:textId="77777777" w:rsidR="003050D8" w:rsidRPr="00970152" w:rsidRDefault="003050D8" w:rsidP="003050D8">
            <w:pPr>
              <w:pStyle w:val="ListParagraph"/>
              <w:numPr>
                <w:ilvl w:val="0"/>
                <w:numId w:val="15"/>
              </w:numPr>
              <w:rPr>
                <w:szCs w:val="18"/>
              </w:rPr>
            </w:pPr>
            <w:r w:rsidRPr="00970152">
              <w:rPr>
                <w:szCs w:val="18"/>
              </w:rPr>
              <w:t>Development of coaching and mentoring schemes which can be used to support female progression in the workplace,</w:t>
            </w:r>
          </w:p>
          <w:p w14:paraId="2392C866" w14:textId="77777777" w:rsidR="003050D8" w:rsidRPr="00970152" w:rsidRDefault="003050D8" w:rsidP="003050D8">
            <w:pPr>
              <w:pStyle w:val="ListParagraph"/>
              <w:numPr>
                <w:ilvl w:val="0"/>
                <w:numId w:val="15"/>
              </w:numPr>
              <w:rPr>
                <w:szCs w:val="18"/>
              </w:rPr>
            </w:pPr>
            <w:r w:rsidRPr="00970152">
              <w:rPr>
                <w:szCs w:val="18"/>
              </w:rPr>
              <w:t>Development of workforce plans and succession plans which will provide further valuable data to assist us in closing the gender pay gap</w:t>
            </w:r>
          </w:p>
          <w:p w14:paraId="511EA654" w14:textId="1FDFC3FA" w:rsidR="003050D8" w:rsidRDefault="003050D8" w:rsidP="003050D8">
            <w:pPr>
              <w:pStyle w:val="ListParagraph"/>
              <w:numPr>
                <w:ilvl w:val="0"/>
                <w:numId w:val="15"/>
              </w:numPr>
              <w:rPr>
                <w:szCs w:val="18"/>
              </w:rPr>
            </w:pPr>
            <w:r w:rsidRPr="009C1AB9">
              <w:rPr>
                <w:szCs w:val="18"/>
              </w:rPr>
              <w:t>Further roll out of staff surveys which will provide rich data to inform our future workplace practices</w:t>
            </w:r>
          </w:p>
          <w:p w14:paraId="666E1107" w14:textId="446C5B08" w:rsidR="003050D8" w:rsidRPr="003050D8" w:rsidRDefault="003050D8" w:rsidP="003050D8">
            <w:pPr>
              <w:pStyle w:val="ListParagraph"/>
              <w:numPr>
                <w:ilvl w:val="0"/>
                <w:numId w:val="15"/>
              </w:numPr>
              <w:rPr>
                <w:szCs w:val="18"/>
              </w:rPr>
            </w:pPr>
            <w:r w:rsidRPr="003050D8">
              <w:rPr>
                <w:szCs w:val="18"/>
              </w:rPr>
              <w:t>Focus on ‘growing our own talent’ through the development of the apprenticeship scheme, the development of the career pathways scheme and a Direct Entry Scheme, which will offer a non-traditional route into leadership roles within the Fire &amp; Rescue Service</w:t>
            </w:r>
          </w:p>
          <w:p w14:paraId="6C86E28E" w14:textId="77777777" w:rsidR="003050D8" w:rsidRPr="003050D8" w:rsidRDefault="003050D8" w:rsidP="003050D8">
            <w:pPr>
              <w:rPr>
                <w:szCs w:val="18"/>
              </w:rPr>
            </w:pPr>
          </w:p>
          <w:p w14:paraId="0AC1CA5B" w14:textId="5AE209CE" w:rsidR="00702ED5" w:rsidRPr="00970152" w:rsidRDefault="00970152" w:rsidP="00970152">
            <w:pPr>
              <w:rPr>
                <w:szCs w:val="18"/>
              </w:rPr>
            </w:pPr>
            <w:r w:rsidRPr="00970152">
              <w:rPr>
                <w:szCs w:val="18"/>
              </w:rPr>
              <w:t>These are actions that the Service are taking to address gender equality more broadly, albeit they support in closing the gap. By considering our 2021 data we can create relative actions from the analysis to understanding the current picture</w:t>
            </w:r>
            <w:r w:rsidR="00534030">
              <w:rPr>
                <w:szCs w:val="18"/>
              </w:rPr>
              <w:t xml:space="preserve"> and trajectory</w:t>
            </w:r>
            <w:r w:rsidRPr="00970152">
              <w:rPr>
                <w:szCs w:val="18"/>
              </w:rPr>
              <w:t xml:space="preserve">. </w:t>
            </w:r>
            <w:r w:rsidR="00A8409F">
              <w:rPr>
                <w:szCs w:val="18"/>
              </w:rPr>
              <w:t>Our changing workforce</w:t>
            </w:r>
            <w:r w:rsidRPr="00970152">
              <w:rPr>
                <w:szCs w:val="18"/>
              </w:rPr>
              <w:t xml:space="preserve"> data will feed into our </w:t>
            </w:r>
            <w:r w:rsidR="00534030">
              <w:rPr>
                <w:szCs w:val="18"/>
              </w:rPr>
              <w:t>continued</w:t>
            </w:r>
            <w:r w:rsidRPr="00970152">
              <w:rPr>
                <w:szCs w:val="18"/>
              </w:rPr>
              <w:t xml:space="preserve"> Positive Action </w:t>
            </w:r>
            <w:r w:rsidR="00534030">
              <w:rPr>
                <w:szCs w:val="18"/>
              </w:rPr>
              <w:t>approach</w:t>
            </w:r>
            <w:r w:rsidR="00A8409F">
              <w:rPr>
                <w:szCs w:val="18"/>
              </w:rPr>
              <w:t xml:space="preserve"> </w:t>
            </w:r>
            <w:r w:rsidRPr="00970152">
              <w:rPr>
                <w:szCs w:val="18"/>
              </w:rPr>
              <w:t xml:space="preserve">when considering attraction, recruitment, retention, </w:t>
            </w:r>
            <w:proofErr w:type="gramStart"/>
            <w:r w:rsidRPr="00970152">
              <w:rPr>
                <w:szCs w:val="18"/>
              </w:rPr>
              <w:t>development</w:t>
            </w:r>
            <w:proofErr w:type="gramEnd"/>
            <w:r w:rsidRPr="00970152">
              <w:rPr>
                <w:szCs w:val="18"/>
              </w:rPr>
              <w:t xml:space="preserve"> and progression.</w:t>
            </w:r>
          </w:p>
        </w:tc>
      </w:tr>
      <w:tr w:rsidR="00970152" w:rsidRPr="00C211A9" w14:paraId="33736934" w14:textId="77777777" w:rsidTr="00970152">
        <w:trPr>
          <w:trHeight w:val="836"/>
        </w:trPr>
        <w:tc>
          <w:tcPr>
            <w:tcW w:w="10950" w:type="dxa"/>
          </w:tcPr>
          <w:p w14:paraId="591FC91E" w14:textId="2BCD66AF" w:rsidR="00970152" w:rsidRPr="00970152" w:rsidRDefault="00970152" w:rsidP="00970152">
            <w:pPr>
              <w:rPr>
                <w:szCs w:val="18"/>
              </w:rPr>
            </w:pPr>
          </w:p>
        </w:tc>
      </w:tr>
    </w:tbl>
    <w:p w14:paraId="4FF57D0E" w14:textId="77777777" w:rsidR="00FA661E" w:rsidRPr="008A24B9" w:rsidRDefault="00FA661E">
      <w:pPr>
        <w:autoSpaceDE w:val="0"/>
        <w:autoSpaceDN w:val="0"/>
        <w:adjustRightInd w:val="0"/>
        <w:jc w:val="center"/>
        <w:rPr>
          <w:rFonts w:cs="Arial"/>
          <w:b/>
          <w:color w:val="FF0000"/>
          <w:szCs w:val="22"/>
        </w:rPr>
      </w:pPr>
    </w:p>
    <w:sectPr w:rsidR="00FA661E" w:rsidRPr="008A24B9" w:rsidSect="00270AFE">
      <w:pgSz w:w="11906" w:h="16838"/>
      <w:pgMar w:top="426" w:right="566" w:bottom="568"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A3357"/>
    <w:multiLevelType w:val="hybridMultilevel"/>
    <w:tmpl w:val="FC829C42"/>
    <w:lvl w:ilvl="0" w:tplc="AB6A7A5E">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390D4A"/>
    <w:multiLevelType w:val="hybridMultilevel"/>
    <w:tmpl w:val="F2264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25ABD"/>
    <w:multiLevelType w:val="hybridMultilevel"/>
    <w:tmpl w:val="9258CC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9724EC"/>
    <w:multiLevelType w:val="hybridMultilevel"/>
    <w:tmpl w:val="52D0831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9E33F6"/>
    <w:multiLevelType w:val="hybridMultilevel"/>
    <w:tmpl w:val="25AC8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260581"/>
    <w:multiLevelType w:val="multilevel"/>
    <w:tmpl w:val="BEEC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D1DF7"/>
    <w:multiLevelType w:val="hybridMultilevel"/>
    <w:tmpl w:val="73E480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750B50"/>
    <w:multiLevelType w:val="hybridMultilevel"/>
    <w:tmpl w:val="6414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83D29"/>
    <w:multiLevelType w:val="hybridMultilevel"/>
    <w:tmpl w:val="1E16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1D0937"/>
    <w:multiLevelType w:val="hybridMultilevel"/>
    <w:tmpl w:val="666CD540"/>
    <w:lvl w:ilvl="0" w:tplc="130650F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A31367"/>
    <w:multiLevelType w:val="hybridMultilevel"/>
    <w:tmpl w:val="F1F27D36"/>
    <w:lvl w:ilvl="0" w:tplc="AB6A7A5E">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C772B4"/>
    <w:multiLevelType w:val="hybridMultilevel"/>
    <w:tmpl w:val="52141A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A846787"/>
    <w:multiLevelType w:val="hybridMultilevel"/>
    <w:tmpl w:val="CC022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76265A"/>
    <w:multiLevelType w:val="hybridMultilevel"/>
    <w:tmpl w:val="3724C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C916E9"/>
    <w:multiLevelType w:val="hybridMultilevel"/>
    <w:tmpl w:val="2AB48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3"/>
  </w:num>
  <w:num w:numId="5">
    <w:abstractNumId w:val="6"/>
  </w:num>
  <w:num w:numId="6">
    <w:abstractNumId w:val="14"/>
  </w:num>
  <w:num w:numId="7">
    <w:abstractNumId w:val="8"/>
  </w:num>
  <w:num w:numId="8">
    <w:abstractNumId w:val="5"/>
  </w:num>
  <w:num w:numId="9">
    <w:abstractNumId w:val="2"/>
  </w:num>
  <w:num w:numId="10">
    <w:abstractNumId w:val="3"/>
  </w:num>
  <w:num w:numId="11">
    <w:abstractNumId w:val="1"/>
  </w:num>
  <w:num w:numId="12">
    <w:abstractNumId w:val="0"/>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7B9"/>
    <w:rsid w:val="00012AF3"/>
    <w:rsid w:val="00020174"/>
    <w:rsid w:val="00020F26"/>
    <w:rsid w:val="00031DBC"/>
    <w:rsid w:val="000328E7"/>
    <w:rsid w:val="00037938"/>
    <w:rsid w:val="000406DB"/>
    <w:rsid w:val="000447A5"/>
    <w:rsid w:val="0005623E"/>
    <w:rsid w:val="00064D46"/>
    <w:rsid w:val="00067BE8"/>
    <w:rsid w:val="00070182"/>
    <w:rsid w:val="000735F7"/>
    <w:rsid w:val="00075F9E"/>
    <w:rsid w:val="0008616E"/>
    <w:rsid w:val="00087477"/>
    <w:rsid w:val="000926AA"/>
    <w:rsid w:val="00092CB9"/>
    <w:rsid w:val="00095499"/>
    <w:rsid w:val="000A40F9"/>
    <w:rsid w:val="000A69D2"/>
    <w:rsid w:val="000B0348"/>
    <w:rsid w:val="000C1C9E"/>
    <w:rsid w:val="000C2E0E"/>
    <w:rsid w:val="000D0B57"/>
    <w:rsid w:val="000F0C04"/>
    <w:rsid w:val="00103FC5"/>
    <w:rsid w:val="0011178F"/>
    <w:rsid w:val="00111948"/>
    <w:rsid w:val="001132D6"/>
    <w:rsid w:val="00115382"/>
    <w:rsid w:val="00115BAA"/>
    <w:rsid w:val="0012462C"/>
    <w:rsid w:val="00127202"/>
    <w:rsid w:val="00127CCC"/>
    <w:rsid w:val="00131569"/>
    <w:rsid w:val="001415A7"/>
    <w:rsid w:val="001433D9"/>
    <w:rsid w:val="00144F58"/>
    <w:rsid w:val="00155321"/>
    <w:rsid w:val="00195E61"/>
    <w:rsid w:val="001A72F2"/>
    <w:rsid w:val="001A7968"/>
    <w:rsid w:val="001B0CEE"/>
    <w:rsid w:val="001C0071"/>
    <w:rsid w:val="001C25D5"/>
    <w:rsid w:val="001C3896"/>
    <w:rsid w:val="001C5884"/>
    <w:rsid w:val="001D2FD0"/>
    <w:rsid w:val="001E1B5F"/>
    <w:rsid w:val="001F0E15"/>
    <w:rsid w:val="00202105"/>
    <w:rsid w:val="00215C19"/>
    <w:rsid w:val="00223389"/>
    <w:rsid w:val="002333ED"/>
    <w:rsid w:val="00235037"/>
    <w:rsid w:val="002431F0"/>
    <w:rsid w:val="00244C36"/>
    <w:rsid w:val="00246531"/>
    <w:rsid w:val="00270AFE"/>
    <w:rsid w:val="00287CF6"/>
    <w:rsid w:val="00295F14"/>
    <w:rsid w:val="002A1D80"/>
    <w:rsid w:val="002B401D"/>
    <w:rsid w:val="002B48BA"/>
    <w:rsid w:val="002E1E3E"/>
    <w:rsid w:val="002E5083"/>
    <w:rsid w:val="0030018C"/>
    <w:rsid w:val="003050D8"/>
    <w:rsid w:val="00310250"/>
    <w:rsid w:val="003219CB"/>
    <w:rsid w:val="0032215D"/>
    <w:rsid w:val="003253C4"/>
    <w:rsid w:val="00344E29"/>
    <w:rsid w:val="00350580"/>
    <w:rsid w:val="00353182"/>
    <w:rsid w:val="00367E02"/>
    <w:rsid w:val="00371D13"/>
    <w:rsid w:val="00372327"/>
    <w:rsid w:val="0038107E"/>
    <w:rsid w:val="0038131C"/>
    <w:rsid w:val="00387A32"/>
    <w:rsid w:val="0039073E"/>
    <w:rsid w:val="00395A98"/>
    <w:rsid w:val="003A70B9"/>
    <w:rsid w:val="003B7C4B"/>
    <w:rsid w:val="003C130B"/>
    <w:rsid w:val="003C28C4"/>
    <w:rsid w:val="003C2F52"/>
    <w:rsid w:val="003C3D4B"/>
    <w:rsid w:val="003D58D3"/>
    <w:rsid w:val="003D6EFA"/>
    <w:rsid w:val="003E2462"/>
    <w:rsid w:val="003E2980"/>
    <w:rsid w:val="003E4FD3"/>
    <w:rsid w:val="003F1445"/>
    <w:rsid w:val="00402802"/>
    <w:rsid w:val="00412F2A"/>
    <w:rsid w:val="00413F4A"/>
    <w:rsid w:val="00414385"/>
    <w:rsid w:val="00414A05"/>
    <w:rsid w:val="00432044"/>
    <w:rsid w:val="004368A3"/>
    <w:rsid w:val="00441F41"/>
    <w:rsid w:val="004644CF"/>
    <w:rsid w:val="00475B40"/>
    <w:rsid w:val="004936BE"/>
    <w:rsid w:val="004C6598"/>
    <w:rsid w:val="004D55F6"/>
    <w:rsid w:val="004E1535"/>
    <w:rsid w:val="00503346"/>
    <w:rsid w:val="00504A6A"/>
    <w:rsid w:val="00534030"/>
    <w:rsid w:val="00547AB5"/>
    <w:rsid w:val="00557FCE"/>
    <w:rsid w:val="005601B0"/>
    <w:rsid w:val="00573591"/>
    <w:rsid w:val="005A1DAE"/>
    <w:rsid w:val="005A2004"/>
    <w:rsid w:val="005B4C0B"/>
    <w:rsid w:val="005C67CD"/>
    <w:rsid w:val="005C749E"/>
    <w:rsid w:val="005D5B88"/>
    <w:rsid w:val="005F1AD3"/>
    <w:rsid w:val="006159DB"/>
    <w:rsid w:val="0062144D"/>
    <w:rsid w:val="0062590D"/>
    <w:rsid w:val="00625E74"/>
    <w:rsid w:val="00637DFE"/>
    <w:rsid w:val="0064482F"/>
    <w:rsid w:val="006637E5"/>
    <w:rsid w:val="006674D2"/>
    <w:rsid w:val="00667F1A"/>
    <w:rsid w:val="00675F2C"/>
    <w:rsid w:val="00685B31"/>
    <w:rsid w:val="00693FB0"/>
    <w:rsid w:val="00697244"/>
    <w:rsid w:val="006A09C0"/>
    <w:rsid w:val="006A3175"/>
    <w:rsid w:val="006A6F57"/>
    <w:rsid w:val="006B2869"/>
    <w:rsid w:val="006C1419"/>
    <w:rsid w:val="006D1421"/>
    <w:rsid w:val="006D2536"/>
    <w:rsid w:val="006D7EA6"/>
    <w:rsid w:val="006E1166"/>
    <w:rsid w:val="00702ED5"/>
    <w:rsid w:val="00726337"/>
    <w:rsid w:val="00726D3E"/>
    <w:rsid w:val="00731285"/>
    <w:rsid w:val="007365D3"/>
    <w:rsid w:val="007369E3"/>
    <w:rsid w:val="00741BC8"/>
    <w:rsid w:val="00742656"/>
    <w:rsid w:val="00744CDC"/>
    <w:rsid w:val="00773EA3"/>
    <w:rsid w:val="0077407D"/>
    <w:rsid w:val="007755B5"/>
    <w:rsid w:val="007801B6"/>
    <w:rsid w:val="007825DD"/>
    <w:rsid w:val="007B7FF9"/>
    <w:rsid w:val="007C43A8"/>
    <w:rsid w:val="007C6E4B"/>
    <w:rsid w:val="007E0C2E"/>
    <w:rsid w:val="007E7ADC"/>
    <w:rsid w:val="00803E75"/>
    <w:rsid w:val="00825483"/>
    <w:rsid w:val="00831C66"/>
    <w:rsid w:val="00837784"/>
    <w:rsid w:val="00841F4B"/>
    <w:rsid w:val="00851917"/>
    <w:rsid w:val="00852247"/>
    <w:rsid w:val="00853792"/>
    <w:rsid w:val="00880200"/>
    <w:rsid w:val="008834BE"/>
    <w:rsid w:val="008A04B4"/>
    <w:rsid w:val="008A24B9"/>
    <w:rsid w:val="008A2746"/>
    <w:rsid w:val="008B049E"/>
    <w:rsid w:val="008C276B"/>
    <w:rsid w:val="008C41E7"/>
    <w:rsid w:val="008D2655"/>
    <w:rsid w:val="009030CE"/>
    <w:rsid w:val="009059E0"/>
    <w:rsid w:val="0092574A"/>
    <w:rsid w:val="00931A09"/>
    <w:rsid w:val="009506FF"/>
    <w:rsid w:val="009509C8"/>
    <w:rsid w:val="00954D64"/>
    <w:rsid w:val="00964A29"/>
    <w:rsid w:val="00970152"/>
    <w:rsid w:val="0097340A"/>
    <w:rsid w:val="009A03D8"/>
    <w:rsid w:val="009A4209"/>
    <w:rsid w:val="009C1AB9"/>
    <w:rsid w:val="009E377D"/>
    <w:rsid w:val="00A03081"/>
    <w:rsid w:val="00A04EF6"/>
    <w:rsid w:val="00A143C5"/>
    <w:rsid w:val="00A2696E"/>
    <w:rsid w:val="00A2711C"/>
    <w:rsid w:val="00A30F6A"/>
    <w:rsid w:val="00A377B9"/>
    <w:rsid w:val="00A41BE5"/>
    <w:rsid w:val="00A53FA2"/>
    <w:rsid w:val="00A56576"/>
    <w:rsid w:val="00A73426"/>
    <w:rsid w:val="00A756EF"/>
    <w:rsid w:val="00A8409F"/>
    <w:rsid w:val="00A97227"/>
    <w:rsid w:val="00AB72FD"/>
    <w:rsid w:val="00AD3702"/>
    <w:rsid w:val="00AD588F"/>
    <w:rsid w:val="00B24C3C"/>
    <w:rsid w:val="00B51B67"/>
    <w:rsid w:val="00B55E81"/>
    <w:rsid w:val="00B72CFA"/>
    <w:rsid w:val="00B825E3"/>
    <w:rsid w:val="00BA24DD"/>
    <w:rsid w:val="00BD0FBB"/>
    <w:rsid w:val="00BD7134"/>
    <w:rsid w:val="00C030C4"/>
    <w:rsid w:val="00C10150"/>
    <w:rsid w:val="00C2287C"/>
    <w:rsid w:val="00C403F8"/>
    <w:rsid w:val="00C52AEE"/>
    <w:rsid w:val="00C55A4D"/>
    <w:rsid w:val="00C577DD"/>
    <w:rsid w:val="00C81A40"/>
    <w:rsid w:val="00C854E7"/>
    <w:rsid w:val="00C85B69"/>
    <w:rsid w:val="00CA31C6"/>
    <w:rsid w:val="00CB5719"/>
    <w:rsid w:val="00CC338D"/>
    <w:rsid w:val="00CD09FF"/>
    <w:rsid w:val="00D00F32"/>
    <w:rsid w:val="00D03261"/>
    <w:rsid w:val="00D120B4"/>
    <w:rsid w:val="00D20A6F"/>
    <w:rsid w:val="00D222FD"/>
    <w:rsid w:val="00D45774"/>
    <w:rsid w:val="00D64BB0"/>
    <w:rsid w:val="00D77DB1"/>
    <w:rsid w:val="00D87BB4"/>
    <w:rsid w:val="00DA1997"/>
    <w:rsid w:val="00DA4D97"/>
    <w:rsid w:val="00DA5F0D"/>
    <w:rsid w:val="00DB1D26"/>
    <w:rsid w:val="00DB3109"/>
    <w:rsid w:val="00DB5405"/>
    <w:rsid w:val="00DB6710"/>
    <w:rsid w:val="00DD06F9"/>
    <w:rsid w:val="00DD67F7"/>
    <w:rsid w:val="00DD71A5"/>
    <w:rsid w:val="00DE34DD"/>
    <w:rsid w:val="00DF3AE9"/>
    <w:rsid w:val="00DF55C3"/>
    <w:rsid w:val="00E07881"/>
    <w:rsid w:val="00E26517"/>
    <w:rsid w:val="00E26D6E"/>
    <w:rsid w:val="00E34A42"/>
    <w:rsid w:val="00E37C26"/>
    <w:rsid w:val="00E53597"/>
    <w:rsid w:val="00E56C49"/>
    <w:rsid w:val="00E6092F"/>
    <w:rsid w:val="00E84739"/>
    <w:rsid w:val="00E868E8"/>
    <w:rsid w:val="00E96541"/>
    <w:rsid w:val="00EA626C"/>
    <w:rsid w:val="00EB2199"/>
    <w:rsid w:val="00EB4B52"/>
    <w:rsid w:val="00EB4FB3"/>
    <w:rsid w:val="00EC5CDA"/>
    <w:rsid w:val="00ED48B1"/>
    <w:rsid w:val="00EF5BC7"/>
    <w:rsid w:val="00F151CB"/>
    <w:rsid w:val="00F2432C"/>
    <w:rsid w:val="00F3721F"/>
    <w:rsid w:val="00F37D4E"/>
    <w:rsid w:val="00F408BD"/>
    <w:rsid w:val="00F50878"/>
    <w:rsid w:val="00F7278D"/>
    <w:rsid w:val="00F764DB"/>
    <w:rsid w:val="00F83423"/>
    <w:rsid w:val="00F9227C"/>
    <w:rsid w:val="00FA3CF4"/>
    <w:rsid w:val="00FA661E"/>
    <w:rsid w:val="00FB49BD"/>
    <w:rsid w:val="00FC167B"/>
    <w:rsid w:val="00FD3FEC"/>
    <w:rsid w:val="00FE0A1C"/>
    <w:rsid w:val="00FE4126"/>
    <w:rsid w:val="00FE6852"/>
    <w:rsid w:val="00FF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61EE"/>
  <w15:chartTrackingRefBased/>
  <w15:docId w15:val="{A2357448-6771-4D6D-AC09-2774666F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11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77B9"/>
    <w:pPr>
      <w:autoSpaceDE w:val="0"/>
      <w:autoSpaceDN w:val="0"/>
      <w:adjustRightInd w:val="0"/>
      <w:spacing w:line="240" w:lineRule="auto"/>
    </w:pPr>
    <w:rPr>
      <w:rFonts w:ascii="Calibri" w:hAnsi="Calibri" w:cs="Calibri"/>
      <w:color w:val="000000"/>
      <w:sz w:val="24"/>
      <w:szCs w:val="24"/>
    </w:rPr>
  </w:style>
  <w:style w:type="paragraph" w:styleId="ListParagraph">
    <w:name w:val="List Paragraph"/>
    <w:basedOn w:val="Normal"/>
    <w:uiPriority w:val="34"/>
    <w:qFormat/>
    <w:rsid w:val="001132D6"/>
    <w:pPr>
      <w:ind w:left="720"/>
      <w:contextualSpacing/>
    </w:pPr>
  </w:style>
  <w:style w:type="paragraph" w:styleId="BalloonText">
    <w:name w:val="Balloon Text"/>
    <w:basedOn w:val="Normal"/>
    <w:link w:val="BalloonTextChar"/>
    <w:uiPriority w:val="99"/>
    <w:semiHidden/>
    <w:unhideWhenUsed/>
    <w:rsid w:val="00F243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32C"/>
    <w:rPr>
      <w:rFonts w:ascii="Segoe UI" w:hAnsi="Segoe UI" w:cs="Segoe UI"/>
      <w:sz w:val="18"/>
      <w:szCs w:val="18"/>
    </w:rPr>
  </w:style>
  <w:style w:type="table" w:styleId="TableGrid">
    <w:name w:val="Table Grid"/>
    <w:basedOn w:val="TableNormal"/>
    <w:uiPriority w:val="59"/>
    <w:rsid w:val="008C27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5037"/>
    <w:rPr>
      <w:rFonts w:ascii="Times New Roman" w:hAnsi="Times New Roman"/>
      <w:sz w:val="24"/>
      <w:szCs w:val="24"/>
    </w:rPr>
  </w:style>
  <w:style w:type="character" w:styleId="CommentReference">
    <w:name w:val="annotation reference"/>
    <w:basedOn w:val="DefaultParagraphFont"/>
    <w:uiPriority w:val="99"/>
    <w:semiHidden/>
    <w:unhideWhenUsed/>
    <w:rsid w:val="00A30F6A"/>
    <w:rPr>
      <w:sz w:val="16"/>
      <w:szCs w:val="16"/>
    </w:rPr>
  </w:style>
  <w:style w:type="paragraph" w:styleId="CommentText">
    <w:name w:val="annotation text"/>
    <w:basedOn w:val="Normal"/>
    <w:link w:val="CommentTextChar"/>
    <w:uiPriority w:val="99"/>
    <w:semiHidden/>
    <w:unhideWhenUsed/>
    <w:rsid w:val="00A30F6A"/>
    <w:rPr>
      <w:sz w:val="20"/>
    </w:rPr>
  </w:style>
  <w:style w:type="character" w:customStyle="1" w:styleId="CommentTextChar">
    <w:name w:val="Comment Text Char"/>
    <w:basedOn w:val="DefaultParagraphFont"/>
    <w:link w:val="CommentText"/>
    <w:uiPriority w:val="99"/>
    <w:semiHidden/>
    <w:rsid w:val="00A30F6A"/>
    <w:rPr>
      <w:sz w:val="20"/>
    </w:rPr>
  </w:style>
  <w:style w:type="paragraph" w:styleId="CommentSubject">
    <w:name w:val="annotation subject"/>
    <w:basedOn w:val="CommentText"/>
    <w:next w:val="CommentText"/>
    <w:link w:val="CommentSubjectChar"/>
    <w:uiPriority w:val="99"/>
    <w:semiHidden/>
    <w:unhideWhenUsed/>
    <w:rsid w:val="00A30F6A"/>
    <w:rPr>
      <w:b/>
      <w:bCs/>
    </w:rPr>
  </w:style>
  <w:style w:type="character" w:customStyle="1" w:styleId="CommentSubjectChar">
    <w:name w:val="Comment Subject Char"/>
    <w:basedOn w:val="CommentTextChar"/>
    <w:link w:val="CommentSubject"/>
    <w:uiPriority w:val="99"/>
    <w:semiHidden/>
    <w:rsid w:val="00A30F6A"/>
    <w:rPr>
      <w:b/>
      <w:bCs/>
      <w:sz w:val="20"/>
    </w:rPr>
  </w:style>
  <w:style w:type="paragraph" w:styleId="Revision">
    <w:name w:val="Revision"/>
    <w:hidden/>
    <w:uiPriority w:val="99"/>
    <w:semiHidden/>
    <w:rsid w:val="00A30F6A"/>
    <w:pPr>
      <w:spacing w:line="240" w:lineRule="auto"/>
    </w:pPr>
  </w:style>
  <w:style w:type="character" w:styleId="Strong">
    <w:name w:val="Strong"/>
    <w:basedOn w:val="DefaultParagraphFont"/>
    <w:uiPriority w:val="22"/>
    <w:qFormat/>
    <w:rsid w:val="00644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8395">
      <w:bodyDiv w:val="1"/>
      <w:marLeft w:val="0"/>
      <w:marRight w:val="0"/>
      <w:marTop w:val="0"/>
      <w:marBottom w:val="0"/>
      <w:divBdr>
        <w:top w:val="none" w:sz="0" w:space="0" w:color="auto"/>
        <w:left w:val="none" w:sz="0" w:space="0" w:color="auto"/>
        <w:bottom w:val="none" w:sz="0" w:space="0" w:color="auto"/>
        <w:right w:val="none" w:sz="0" w:space="0" w:color="auto"/>
      </w:divBdr>
    </w:div>
    <w:div w:id="17171643">
      <w:bodyDiv w:val="1"/>
      <w:marLeft w:val="0"/>
      <w:marRight w:val="0"/>
      <w:marTop w:val="0"/>
      <w:marBottom w:val="0"/>
      <w:divBdr>
        <w:top w:val="none" w:sz="0" w:space="0" w:color="auto"/>
        <w:left w:val="none" w:sz="0" w:space="0" w:color="auto"/>
        <w:bottom w:val="none" w:sz="0" w:space="0" w:color="auto"/>
        <w:right w:val="none" w:sz="0" w:space="0" w:color="auto"/>
      </w:divBdr>
    </w:div>
    <w:div w:id="45614358">
      <w:bodyDiv w:val="1"/>
      <w:marLeft w:val="0"/>
      <w:marRight w:val="0"/>
      <w:marTop w:val="0"/>
      <w:marBottom w:val="0"/>
      <w:divBdr>
        <w:top w:val="none" w:sz="0" w:space="0" w:color="auto"/>
        <w:left w:val="none" w:sz="0" w:space="0" w:color="auto"/>
        <w:bottom w:val="none" w:sz="0" w:space="0" w:color="auto"/>
        <w:right w:val="none" w:sz="0" w:space="0" w:color="auto"/>
      </w:divBdr>
    </w:div>
    <w:div w:id="175926884">
      <w:bodyDiv w:val="1"/>
      <w:marLeft w:val="0"/>
      <w:marRight w:val="0"/>
      <w:marTop w:val="0"/>
      <w:marBottom w:val="0"/>
      <w:divBdr>
        <w:top w:val="none" w:sz="0" w:space="0" w:color="auto"/>
        <w:left w:val="none" w:sz="0" w:space="0" w:color="auto"/>
        <w:bottom w:val="none" w:sz="0" w:space="0" w:color="auto"/>
        <w:right w:val="none" w:sz="0" w:space="0" w:color="auto"/>
      </w:divBdr>
    </w:div>
    <w:div w:id="234172110">
      <w:bodyDiv w:val="1"/>
      <w:marLeft w:val="0"/>
      <w:marRight w:val="0"/>
      <w:marTop w:val="0"/>
      <w:marBottom w:val="0"/>
      <w:divBdr>
        <w:top w:val="none" w:sz="0" w:space="0" w:color="auto"/>
        <w:left w:val="none" w:sz="0" w:space="0" w:color="auto"/>
        <w:bottom w:val="none" w:sz="0" w:space="0" w:color="auto"/>
        <w:right w:val="none" w:sz="0" w:space="0" w:color="auto"/>
      </w:divBdr>
    </w:div>
    <w:div w:id="236288942">
      <w:bodyDiv w:val="1"/>
      <w:marLeft w:val="0"/>
      <w:marRight w:val="0"/>
      <w:marTop w:val="0"/>
      <w:marBottom w:val="0"/>
      <w:divBdr>
        <w:top w:val="none" w:sz="0" w:space="0" w:color="auto"/>
        <w:left w:val="none" w:sz="0" w:space="0" w:color="auto"/>
        <w:bottom w:val="none" w:sz="0" w:space="0" w:color="auto"/>
        <w:right w:val="none" w:sz="0" w:space="0" w:color="auto"/>
      </w:divBdr>
    </w:div>
    <w:div w:id="296230276">
      <w:bodyDiv w:val="1"/>
      <w:marLeft w:val="0"/>
      <w:marRight w:val="0"/>
      <w:marTop w:val="0"/>
      <w:marBottom w:val="0"/>
      <w:divBdr>
        <w:top w:val="none" w:sz="0" w:space="0" w:color="auto"/>
        <w:left w:val="none" w:sz="0" w:space="0" w:color="auto"/>
        <w:bottom w:val="none" w:sz="0" w:space="0" w:color="auto"/>
        <w:right w:val="none" w:sz="0" w:space="0" w:color="auto"/>
      </w:divBdr>
    </w:div>
    <w:div w:id="299380643">
      <w:bodyDiv w:val="1"/>
      <w:marLeft w:val="0"/>
      <w:marRight w:val="0"/>
      <w:marTop w:val="0"/>
      <w:marBottom w:val="0"/>
      <w:divBdr>
        <w:top w:val="none" w:sz="0" w:space="0" w:color="auto"/>
        <w:left w:val="none" w:sz="0" w:space="0" w:color="auto"/>
        <w:bottom w:val="none" w:sz="0" w:space="0" w:color="auto"/>
        <w:right w:val="none" w:sz="0" w:space="0" w:color="auto"/>
      </w:divBdr>
    </w:div>
    <w:div w:id="490948072">
      <w:bodyDiv w:val="1"/>
      <w:marLeft w:val="0"/>
      <w:marRight w:val="0"/>
      <w:marTop w:val="0"/>
      <w:marBottom w:val="0"/>
      <w:divBdr>
        <w:top w:val="none" w:sz="0" w:space="0" w:color="auto"/>
        <w:left w:val="none" w:sz="0" w:space="0" w:color="auto"/>
        <w:bottom w:val="none" w:sz="0" w:space="0" w:color="auto"/>
        <w:right w:val="none" w:sz="0" w:space="0" w:color="auto"/>
      </w:divBdr>
    </w:div>
    <w:div w:id="612708827">
      <w:bodyDiv w:val="1"/>
      <w:marLeft w:val="0"/>
      <w:marRight w:val="0"/>
      <w:marTop w:val="0"/>
      <w:marBottom w:val="0"/>
      <w:divBdr>
        <w:top w:val="none" w:sz="0" w:space="0" w:color="auto"/>
        <w:left w:val="none" w:sz="0" w:space="0" w:color="auto"/>
        <w:bottom w:val="none" w:sz="0" w:space="0" w:color="auto"/>
        <w:right w:val="none" w:sz="0" w:space="0" w:color="auto"/>
      </w:divBdr>
    </w:div>
    <w:div w:id="783499966">
      <w:bodyDiv w:val="1"/>
      <w:marLeft w:val="0"/>
      <w:marRight w:val="0"/>
      <w:marTop w:val="0"/>
      <w:marBottom w:val="0"/>
      <w:divBdr>
        <w:top w:val="none" w:sz="0" w:space="0" w:color="auto"/>
        <w:left w:val="none" w:sz="0" w:space="0" w:color="auto"/>
        <w:bottom w:val="none" w:sz="0" w:space="0" w:color="auto"/>
        <w:right w:val="none" w:sz="0" w:space="0" w:color="auto"/>
      </w:divBdr>
    </w:div>
    <w:div w:id="875702753">
      <w:bodyDiv w:val="1"/>
      <w:marLeft w:val="0"/>
      <w:marRight w:val="0"/>
      <w:marTop w:val="0"/>
      <w:marBottom w:val="0"/>
      <w:divBdr>
        <w:top w:val="none" w:sz="0" w:space="0" w:color="auto"/>
        <w:left w:val="none" w:sz="0" w:space="0" w:color="auto"/>
        <w:bottom w:val="none" w:sz="0" w:space="0" w:color="auto"/>
        <w:right w:val="none" w:sz="0" w:space="0" w:color="auto"/>
      </w:divBdr>
    </w:div>
    <w:div w:id="1354258467">
      <w:bodyDiv w:val="1"/>
      <w:marLeft w:val="0"/>
      <w:marRight w:val="0"/>
      <w:marTop w:val="0"/>
      <w:marBottom w:val="0"/>
      <w:divBdr>
        <w:top w:val="none" w:sz="0" w:space="0" w:color="auto"/>
        <w:left w:val="none" w:sz="0" w:space="0" w:color="auto"/>
        <w:bottom w:val="none" w:sz="0" w:space="0" w:color="auto"/>
        <w:right w:val="none" w:sz="0" w:space="0" w:color="auto"/>
      </w:divBdr>
    </w:div>
    <w:div w:id="1424764577">
      <w:bodyDiv w:val="1"/>
      <w:marLeft w:val="0"/>
      <w:marRight w:val="0"/>
      <w:marTop w:val="0"/>
      <w:marBottom w:val="0"/>
      <w:divBdr>
        <w:top w:val="none" w:sz="0" w:space="0" w:color="auto"/>
        <w:left w:val="none" w:sz="0" w:space="0" w:color="auto"/>
        <w:bottom w:val="none" w:sz="0" w:space="0" w:color="auto"/>
        <w:right w:val="none" w:sz="0" w:space="0" w:color="auto"/>
      </w:divBdr>
    </w:div>
    <w:div w:id="1434861558">
      <w:bodyDiv w:val="1"/>
      <w:marLeft w:val="0"/>
      <w:marRight w:val="0"/>
      <w:marTop w:val="0"/>
      <w:marBottom w:val="0"/>
      <w:divBdr>
        <w:top w:val="none" w:sz="0" w:space="0" w:color="auto"/>
        <w:left w:val="none" w:sz="0" w:space="0" w:color="auto"/>
        <w:bottom w:val="none" w:sz="0" w:space="0" w:color="auto"/>
        <w:right w:val="none" w:sz="0" w:space="0" w:color="auto"/>
      </w:divBdr>
    </w:div>
    <w:div w:id="1526136914">
      <w:bodyDiv w:val="1"/>
      <w:marLeft w:val="0"/>
      <w:marRight w:val="0"/>
      <w:marTop w:val="0"/>
      <w:marBottom w:val="0"/>
      <w:divBdr>
        <w:top w:val="none" w:sz="0" w:space="0" w:color="auto"/>
        <w:left w:val="none" w:sz="0" w:space="0" w:color="auto"/>
        <w:bottom w:val="none" w:sz="0" w:space="0" w:color="auto"/>
        <w:right w:val="none" w:sz="0" w:space="0" w:color="auto"/>
      </w:divBdr>
    </w:div>
    <w:div w:id="1558315687">
      <w:bodyDiv w:val="1"/>
      <w:marLeft w:val="0"/>
      <w:marRight w:val="0"/>
      <w:marTop w:val="0"/>
      <w:marBottom w:val="0"/>
      <w:divBdr>
        <w:top w:val="none" w:sz="0" w:space="0" w:color="auto"/>
        <w:left w:val="none" w:sz="0" w:space="0" w:color="auto"/>
        <w:bottom w:val="none" w:sz="0" w:space="0" w:color="auto"/>
        <w:right w:val="none" w:sz="0" w:space="0" w:color="auto"/>
      </w:divBdr>
    </w:div>
    <w:div w:id="1642493132">
      <w:bodyDiv w:val="1"/>
      <w:marLeft w:val="0"/>
      <w:marRight w:val="0"/>
      <w:marTop w:val="0"/>
      <w:marBottom w:val="0"/>
      <w:divBdr>
        <w:top w:val="none" w:sz="0" w:space="0" w:color="auto"/>
        <w:left w:val="none" w:sz="0" w:space="0" w:color="auto"/>
        <w:bottom w:val="none" w:sz="0" w:space="0" w:color="auto"/>
        <w:right w:val="none" w:sz="0" w:space="0" w:color="auto"/>
      </w:divBdr>
    </w:div>
    <w:div w:id="1750730451">
      <w:bodyDiv w:val="1"/>
      <w:marLeft w:val="0"/>
      <w:marRight w:val="0"/>
      <w:marTop w:val="0"/>
      <w:marBottom w:val="0"/>
      <w:divBdr>
        <w:top w:val="none" w:sz="0" w:space="0" w:color="auto"/>
        <w:left w:val="none" w:sz="0" w:space="0" w:color="auto"/>
        <w:bottom w:val="none" w:sz="0" w:space="0" w:color="auto"/>
        <w:right w:val="none" w:sz="0" w:space="0" w:color="auto"/>
      </w:divBdr>
    </w:div>
    <w:div w:id="1758941548">
      <w:bodyDiv w:val="1"/>
      <w:marLeft w:val="0"/>
      <w:marRight w:val="0"/>
      <w:marTop w:val="0"/>
      <w:marBottom w:val="0"/>
      <w:divBdr>
        <w:top w:val="none" w:sz="0" w:space="0" w:color="auto"/>
        <w:left w:val="none" w:sz="0" w:space="0" w:color="auto"/>
        <w:bottom w:val="none" w:sz="0" w:space="0" w:color="auto"/>
        <w:right w:val="none" w:sz="0" w:space="0" w:color="auto"/>
      </w:divBdr>
    </w:div>
    <w:div w:id="1993951102">
      <w:bodyDiv w:val="1"/>
      <w:marLeft w:val="0"/>
      <w:marRight w:val="0"/>
      <w:marTop w:val="0"/>
      <w:marBottom w:val="0"/>
      <w:divBdr>
        <w:top w:val="none" w:sz="0" w:space="0" w:color="auto"/>
        <w:left w:val="none" w:sz="0" w:space="0" w:color="auto"/>
        <w:bottom w:val="none" w:sz="0" w:space="0" w:color="auto"/>
        <w:right w:val="none" w:sz="0" w:space="0" w:color="auto"/>
      </w:divBdr>
    </w:div>
    <w:div w:id="1998419425">
      <w:bodyDiv w:val="1"/>
      <w:marLeft w:val="0"/>
      <w:marRight w:val="0"/>
      <w:marTop w:val="0"/>
      <w:marBottom w:val="0"/>
      <w:divBdr>
        <w:top w:val="none" w:sz="0" w:space="0" w:color="auto"/>
        <w:left w:val="none" w:sz="0" w:space="0" w:color="auto"/>
        <w:bottom w:val="none" w:sz="0" w:space="0" w:color="auto"/>
        <w:right w:val="none" w:sz="0" w:space="0" w:color="auto"/>
      </w:divBdr>
    </w:div>
    <w:div w:id="2029746589">
      <w:bodyDiv w:val="1"/>
      <w:marLeft w:val="0"/>
      <w:marRight w:val="0"/>
      <w:marTop w:val="0"/>
      <w:marBottom w:val="0"/>
      <w:divBdr>
        <w:top w:val="none" w:sz="0" w:space="0" w:color="auto"/>
        <w:left w:val="none" w:sz="0" w:space="0" w:color="auto"/>
        <w:bottom w:val="none" w:sz="0" w:space="0" w:color="auto"/>
        <w:right w:val="none" w:sz="0" w:space="0" w:color="auto"/>
      </w:divBdr>
    </w:div>
    <w:div w:id="208105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ifs\Shared\P&amp;T\Service%20Support%20Directorate\Personnel%20Services\Equality%20and%20Diversity\09.%20Gender\2021%20submission%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ifs\Shared\P&amp;T\Service%20Support%20Directorate\Personnel%20Services\Equality%20and%20Diversity\09.%20Gender\2021%20submission%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ifs\Shared\P&amp;T\Service%20Support%20Directorate\Personnel%20Services\Equality%20and%20Diversity\09.%20Gender\2021%20submission%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ifs\Shared\P&amp;T\Service%20Support%20Directorate\Personnel%20Services\Equality%20and%20Diversity\09.%20Gender\2021%20submission%20dat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Work</a:t>
            </a:r>
            <a:r>
              <a:rPr lang="en-GB" baseline="0"/>
              <a:t> Groups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7D0-4DBC-A330-5715A46E42A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7D0-4DBC-A330-5715A46E42A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7D0-4DBC-A330-5715A46E42A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7D0-4DBC-A330-5715A46E42A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'Work Group'!$B$12:$E$12</c:f>
              <c:strCache>
                <c:ptCount val="4"/>
                <c:pt idx="0">
                  <c:v>Wholetime</c:v>
                </c:pt>
                <c:pt idx="1">
                  <c:v>On-call</c:v>
                </c:pt>
                <c:pt idx="2">
                  <c:v>Control</c:v>
                </c:pt>
                <c:pt idx="3">
                  <c:v>Corporate Staff</c:v>
                </c:pt>
              </c:strCache>
            </c:strRef>
          </c:cat>
          <c:val>
            <c:numRef>
              <c:f>'Work Group'!$B$13:$E$13</c:f>
              <c:numCache>
                <c:formatCode>General</c:formatCode>
                <c:ptCount val="4"/>
                <c:pt idx="0">
                  <c:v>355</c:v>
                </c:pt>
                <c:pt idx="1">
                  <c:v>222</c:v>
                </c:pt>
                <c:pt idx="2">
                  <c:v>35</c:v>
                </c:pt>
                <c:pt idx="3">
                  <c:v>165</c:v>
                </c:pt>
              </c:numCache>
            </c:numRef>
          </c:val>
          <c:extLst>
            <c:ext xmlns:c16="http://schemas.microsoft.com/office/drawing/2014/chart" uri="{C3380CC4-5D6E-409C-BE32-E72D297353CC}">
              <c16:uniqueId val="{00000008-67D0-4DBC-A330-5715A46E42A1}"/>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Annual Trend - Median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872155795340397"/>
          <c:y val="0.1676941457586619"/>
          <c:w val="0.81506445027704866"/>
          <c:h val="0.71188402524953198"/>
        </c:manualLayout>
      </c:layout>
      <c:lineChart>
        <c:grouping val="standard"/>
        <c:varyColors val="0"/>
        <c:ser>
          <c:idx val="0"/>
          <c:order val="0"/>
          <c:tx>
            <c:strRef>
              <c:f>'Annual trends'!$B$11:$B$12</c:f>
              <c:strCache>
                <c:ptCount val="2"/>
                <c:pt idx="0">
                  <c:v>Median</c:v>
                </c:pt>
                <c:pt idx="1">
                  <c:v>Pay Gap %</c:v>
                </c:pt>
              </c:strCache>
            </c:strRef>
          </c:tx>
          <c:spPr>
            <a:ln w="28575" cap="rnd">
              <a:solidFill>
                <a:schemeClr val="accent1"/>
              </a:solidFill>
              <a:round/>
            </a:ln>
            <a:effectLst/>
          </c:spPr>
          <c:marker>
            <c:symbol val="none"/>
          </c:marker>
          <c:cat>
            <c:numRef>
              <c:f>'Annual trends'!$A$13:$A$15</c:f>
              <c:numCache>
                <c:formatCode>General</c:formatCode>
                <c:ptCount val="3"/>
                <c:pt idx="0">
                  <c:v>2019</c:v>
                </c:pt>
                <c:pt idx="1">
                  <c:v>2020</c:v>
                </c:pt>
                <c:pt idx="2">
                  <c:v>2021</c:v>
                </c:pt>
              </c:numCache>
            </c:numRef>
          </c:cat>
          <c:val>
            <c:numRef>
              <c:f>'Annual trends'!$B$13:$B$15</c:f>
              <c:numCache>
                <c:formatCode>General</c:formatCode>
                <c:ptCount val="3"/>
                <c:pt idx="0" formatCode="0.0">
                  <c:v>15.5</c:v>
                </c:pt>
                <c:pt idx="1">
                  <c:v>16.350000000000001</c:v>
                </c:pt>
                <c:pt idx="2">
                  <c:v>13.64</c:v>
                </c:pt>
              </c:numCache>
            </c:numRef>
          </c:val>
          <c:smooth val="0"/>
          <c:extLst>
            <c:ext xmlns:c16="http://schemas.microsoft.com/office/drawing/2014/chart" uri="{C3380CC4-5D6E-409C-BE32-E72D297353CC}">
              <c16:uniqueId val="{00000000-70F6-4E51-AA01-690AE2C96E3A}"/>
            </c:ext>
          </c:extLst>
        </c:ser>
        <c:dLbls>
          <c:showLegendKey val="0"/>
          <c:showVal val="0"/>
          <c:showCatName val="0"/>
          <c:showSerName val="0"/>
          <c:showPercent val="0"/>
          <c:showBubbleSize val="0"/>
        </c:dLbls>
        <c:smooth val="0"/>
        <c:axId val="2073434095"/>
        <c:axId val="2073445743"/>
      </c:lineChart>
      <c:catAx>
        <c:axId val="2073434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3445743"/>
        <c:crosses val="autoZero"/>
        <c:auto val="1"/>
        <c:lblAlgn val="ctr"/>
        <c:lblOffset val="100"/>
        <c:noMultiLvlLbl val="0"/>
      </c:catAx>
      <c:valAx>
        <c:axId val="2073445743"/>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Pay Gap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3434095"/>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Annual Trend - Mean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'Annual trends'!$B$1:$B$2</c:f>
              <c:strCache>
                <c:ptCount val="2"/>
                <c:pt idx="0">
                  <c:v>Mean</c:v>
                </c:pt>
                <c:pt idx="1">
                  <c:v>Pay Gap %</c:v>
                </c:pt>
              </c:strCache>
            </c:strRef>
          </c:tx>
          <c:spPr>
            <a:ln w="28575" cap="rnd">
              <a:solidFill>
                <a:schemeClr val="accent1"/>
              </a:solidFill>
              <a:round/>
            </a:ln>
            <a:effectLst/>
          </c:spPr>
          <c:marker>
            <c:symbol val="none"/>
          </c:marker>
          <c:cat>
            <c:numRef>
              <c:f>'Annual trends'!$A$3:$A$5</c:f>
              <c:numCache>
                <c:formatCode>General</c:formatCode>
                <c:ptCount val="3"/>
                <c:pt idx="0">
                  <c:v>2019</c:v>
                </c:pt>
                <c:pt idx="1">
                  <c:v>2020</c:v>
                </c:pt>
                <c:pt idx="2">
                  <c:v>2021</c:v>
                </c:pt>
              </c:numCache>
            </c:numRef>
          </c:cat>
          <c:val>
            <c:numRef>
              <c:f>'Annual trends'!$B$3:$B$5</c:f>
              <c:numCache>
                <c:formatCode>General</c:formatCode>
                <c:ptCount val="3"/>
                <c:pt idx="0">
                  <c:v>15.76</c:v>
                </c:pt>
                <c:pt idx="1">
                  <c:v>16.89</c:v>
                </c:pt>
                <c:pt idx="2">
                  <c:v>13.62</c:v>
                </c:pt>
              </c:numCache>
            </c:numRef>
          </c:val>
          <c:smooth val="0"/>
          <c:extLst>
            <c:ext xmlns:c16="http://schemas.microsoft.com/office/drawing/2014/chart" uri="{C3380CC4-5D6E-409C-BE32-E72D297353CC}">
              <c16:uniqueId val="{00000000-2D7A-4B48-B5D9-5C25193E5966}"/>
            </c:ext>
          </c:extLst>
        </c:ser>
        <c:dLbls>
          <c:showLegendKey val="0"/>
          <c:showVal val="0"/>
          <c:showCatName val="0"/>
          <c:showSerName val="0"/>
          <c:showPercent val="0"/>
          <c:showBubbleSize val="0"/>
        </c:dLbls>
        <c:smooth val="0"/>
        <c:axId val="2017803631"/>
        <c:axId val="2017806127"/>
      </c:lineChart>
      <c:catAx>
        <c:axId val="2017803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7806127"/>
        <c:crosses val="autoZero"/>
        <c:auto val="1"/>
        <c:lblAlgn val="ctr"/>
        <c:lblOffset val="100"/>
        <c:noMultiLvlLbl val="0"/>
      </c:catAx>
      <c:valAx>
        <c:axId val="20178061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Pay Gap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78036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Quartile</a:t>
            </a:r>
            <a:r>
              <a:rPr lang="en-GB" baseline="0"/>
              <a:t> Comparison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'Quartile detail'!$A$53</c:f>
              <c:strCache>
                <c:ptCount val="1"/>
                <c:pt idx="0">
                  <c:v>Female</c:v>
                </c:pt>
              </c:strCache>
            </c:strRef>
          </c:tx>
          <c:spPr>
            <a:solidFill>
              <a:schemeClr val="accent1"/>
            </a:solidFill>
            <a:ln>
              <a:noFill/>
            </a:ln>
            <a:effectLst/>
          </c:spPr>
          <c:invertIfNegative val="0"/>
          <c:cat>
            <c:strRef>
              <c:f>'Quartile detail'!$B$52:$E$52</c:f>
              <c:strCache>
                <c:ptCount val="4"/>
                <c:pt idx="0">
                  <c:v>Band A</c:v>
                </c:pt>
                <c:pt idx="1">
                  <c:v>Band B</c:v>
                </c:pt>
                <c:pt idx="2">
                  <c:v>Band C</c:v>
                </c:pt>
                <c:pt idx="3">
                  <c:v>Band D</c:v>
                </c:pt>
              </c:strCache>
            </c:strRef>
          </c:cat>
          <c:val>
            <c:numRef>
              <c:f>'Quartile detail'!$B$53:$E$53</c:f>
              <c:numCache>
                <c:formatCode>0.00%</c:formatCode>
                <c:ptCount val="4"/>
                <c:pt idx="0">
                  <c:v>0.38969999999999999</c:v>
                </c:pt>
                <c:pt idx="1">
                  <c:v>0.12889999999999999</c:v>
                </c:pt>
                <c:pt idx="2">
                  <c:v>0.20619999999999999</c:v>
                </c:pt>
                <c:pt idx="3">
                  <c:v>0.1237</c:v>
                </c:pt>
              </c:numCache>
            </c:numRef>
          </c:val>
          <c:extLst>
            <c:ext xmlns:c16="http://schemas.microsoft.com/office/drawing/2014/chart" uri="{C3380CC4-5D6E-409C-BE32-E72D297353CC}">
              <c16:uniqueId val="{00000000-0F7A-4CD4-8CF2-DFE10576DA2E}"/>
            </c:ext>
          </c:extLst>
        </c:ser>
        <c:ser>
          <c:idx val="1"/>
          <c:order val="1"/>
          <c:tx>
            <c:strRef>
              <c:f>'Quartile detail'!$A$54</c:f>
              <c:strCache>
                <c:ptCount val="1"/>
                <c:pt idx="0">
                  <c:v>Male</c:v>
                </c:pt>
              </c:strCache>
            </c:strRef>
          </c:tx>
          <c:spPr>
            <a:solidFill>
              <a:schemeClr val="accent2"/>
            </a:solidFill>
            <a:ln>
              <a:noFill/>
            </a:ln>
            <a:effectLst/>
          </c:spPr>
          <c:invertIfNegative val="0"/>
          <c:cat>
            <c:strRef>
              <c:f>'Quartile detail'!$B$52:$E$52</c:f>
              <c:strCache>
                <c:ptCount val="4"/>
                <c:pt idx="0">
                  <c:v>Band A</c:v>
                </c:pt>
                <c:pt idx="1">
                  <c:v>Band B</c:v>
                </c:pt>
                <c:pt idx="2">
                  <c:v>Band C</c:v>
                </c:pt>
                <c:pt idx="3">
                  <c:v>Band D</c:v>
                </c:pt>
              </c:strCache>
            </c:strRef>
          </c:cat>
          <c:val>
            <c:numRef>
              <c:f>'Quartile detail'!$B$54:$E$54</c:f>
              <c:numCache>
                <c:formatCode>0.00%</c:formatCode>
                <c:ptCount val="4"/>
                <c:pt idx="0">
                  <c:v>0.61029999999999995</c:v>
                </c:pt>
                <c:pt idx="1">
                  <c:v>0.87109999999999999</c:v>
                </c:pt>
                <c:pt idx="2">
                  <c:v>0.79379999999999995</c:v>
                </c:pt>
                <c:pt idx="3">
                  <c:v>0.87629999999999997</c:v>
                </c:pt>
              </c:numCache>
            </c:numRef>
          </c:val>
          <c:extLst>
            <c:ext xmlns:c16="http://schemas.microsoft.com/office/drawing/2014/chart" uri="{C3380CC4-5D6E-409C-BE32-E72D297353CC}">
              <c16:uniqueId val="{00000001-0F7A-4CD4-8CF2-DFE10576DA2E}"/>
            </c:ext>
          </c:extLst>
        </c:ser>
        <c:dLbls>
          <c:showLegendKey val="0"/>
          <c:showVal val="0"/>
          <c:showCatName val="0"/>
          <c:showSerName val="0"/>
          <c:showPercent val="0"/>
          <c:showBubbleSize val="0"/>
        </c:dLbls>
        <c:gapWidth val="219"/>
        <c:overlap val="-27"/>
        <c:axId val="2073508975"/>
        <c:axId val="2073494831"/>
      </c:barChart>
      <c:catAx>
        <c:axId val="207350897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Proportion as % of Band</a:t>
                </a:r>
              </a:p>
            </c:rich>
          </c:tx>
          <c:layout>
            <c:manualLayout>
              <c:xMode val="edge"/>
              <c:yMode val="edge"/>
              <c:x val="0.38276968503937009"/>
              <c:y val="0.7912955672207641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3494831"/>
        <c:crosses val="autoZero"/>
        <c:auto val="1"/>
        <c:lblAlgn val="ctr"/>
        <c:lblOffset val="100"/>
        <c:noMultiLvlLbl val="0"/>
      </c:catAx>
      <c:valAx>
        <c:axId val="20734948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3508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6A890-7701-4F37-9AB1-4AC28E52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East Sussex Fire &amp; Rescue Service</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Thurston</dc:creator>
  <cp:keywords/>
  <dc:description/>
  <cp:lastModifiedBy>Keira Woodroofe</cp:lastModifiedBy>
  <cp:revision>5</cp:revision>
  <cp:lastPrinted>2020-03-04T09:40:00Z</cp:lastPrinted>
  <dcterms:created xsi:type="dcterms:W3CDTF">2022-02-02T15:03:00Z</dcterms:created>
  <dcterms:modified xsi:type="dcterms:W3CDTF">2022-02-11T15:25:00Z</dcterms:modified>
</cp:coreProperties>
</file>