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F373" w14:textId="0A99862C" w:rsidR="000A55D7" w:rsidRDefault="000A55D7">
      <w:pPr>
        <w:spacing w:after="111" w:line="259" w:lineRule="auto"/>
        <w:ind w:left="0" w:firstLine="0"/>
        <w:jc w:val="left"/>
      </w:pPr>
    </w:p>
    <w:p w14:paraId="187FDDC0" w14:textId="2DF2EFAE" w:rsidR="000A55D7" w:rsidRDefault="006A246B" w:rsidP="001D3F53">
      <w:pPr>
        <w:spacing w:after="89" w:line="259" w:lineRule="auto"/>
        <w:ind w:left="0" w:right="118" w:firstLine="0"/>
        <w:jc w:val="center"/>
      </w:pPr>
      <w:r>
        <w:rPr>
          <w:noProof/>
        </w:rPr>
        <w:drawing>
          <wp:inline distT="0" distB="0" distL="0" distR="0" wp14:anchorId="511E6CE7" wp14:editId="1744A7EC">
            <wp:extent cx="2621280" cy="2286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7C6ADE9F" w14:textId="77777777" w:rsidR="000A55D7" w:rsidRDefault="00EA6290">
      <w:pPr>
        <w:spacing w:after="0" w:line="259" w:lineRule="auto"/>
        <w:ind w:left="0" w:right="142" w:firstLine="0"/>
        <w:jc w:val="center"/>
      </w:pPr>
      <w:hyperlink r:id="rId6">
        <w:r w:rsidR="006A246B">
          <w:rPr>
            <w:rFonts w:ascii="Calibri" w:eastAsia="Calibri" w:hAnsi="Calibri" w:cs="Calibri"/>
            <w:color w:val="0563C1"/>
            <w:sz w:val="22"/>
            <w:u w:val="single" w:color="0563C1"/>
          </w:rPr>
          <w:t>https://www.esfrs.org/about</w:t>
        </w:r>
      </w:hyperlink>
      <w:hyperlink r:id="rId7">
        <w:r w:rsidR="006A246B"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8">
        <w:r w:rsidR="006A246B">
          <w:rPr>
            <w:rFonts w:ascii="Calibri" w:eastAsia="Calibri" w:hAnsi="Calibri" w:cs="Calibri"/>
            <w:color w:val="0563C1"/>
            <w:sz w:val="22"/>
            <w:u w:val="single" w:color="0563C1"/>
          </w:rPr>
          <w:t>us/publication</w:t>
        </w:r>
      </w:hyperlink>
      <w:hyperlink r:id="rId9">
        <w:r w:rsidR="006A246B"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10">
        <w:r w:rsidR="006A246B">
          <w:rPr>
            <w:rFonts w:ascii="Calibri" w:eastAsia="Calibri" w:hAnsi="Calibri" w:cs="Calibri"/>
            <w:color w:val="0563C1"/>
            <w:sz w:val="22"/>
            <w:u w:val="single" w:color="0563C1"/>
          </w:rPr>
          <w:t>of</w:t>
        </w:r>
      </w:hyperlink>
      <w:hyperlink r:id="rId11">
        <w:r w:rsidR="006A246B"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12">
        <w:r w:rsidR="006A246B">
          <w:rPr>
            <w:rFonts w:ascii="Calibri" w:eastAsia="Calibri" w:hAnsi="Calibri" w:cs="Calibri"/>
            <w:color w:val="0563C1"/>
            <w:sz w:val="22"/>
            <w:u w:val="single" w:color="0563C1"/>
          </w:rPr>
          <w:t>information/financial</w:t>
        </w:r>
      </w:hyperlink>
      <w:hyperlink r:id="rId13">
        <w:r w:rsidR="006A246B">
          <w:rPr>
            <w:rFonts w:ascii="Calibri" w:eastAsia="Calibri" w:hAnsi="Calibri" w:cs="Calibri"/>
            <w:color w:val="0563C1"/>
            <w:sz w:val="22"/>
            <w:u w:val="single" w:color="0563C1"/>
          </w:rPr>
          <w:t>-</w:t>
        </w:r>
      </w:hyperlink>
      <w:hyperlink r:id="rId14">
        <w:r w:rsidR="006A246B">
          <w:rPr>
            <w:rFonts w:ascii="Calibri" w:eastAsia="Calibri" w:hAnsi="Calibri" w:cs="Calibri"/>
            <w:color w:val="0563C1"/>
            <w:sz w:val="22"/>
            <w:u w:val="single" w:color="0563C1"/>
          </w:rPr>
          <w:t>information/</w:t>
        </w:r>
      </w:hyperlink>
      <w:hyperlink r:id="rId15">
        <w:r w:rsidR="006A246B">
          <w:rPr>
            <w:b/>
          </w:rPr>
          <w:t xml:space="preserve"> </w:t>
        </w:r>
      </w:hyperlink>
    </w:p>
    <w:p w14:paraId="2AEB6BBB" w14:textId="77777777" w:rsidR="000A55D7" w:rsidRDefault="006A246B">
      <w:pPr>
        <w:pStyle w:val="Heading1"/>
      </w:pPr>
      <w:r>
        <w:t xml:space="preserve">EAST SUSSEX FIRE AUTHORITY AUDIT AND INSPECTION OF ACCOUNTS </w:t>
      </w:r>
    </w:p>
    <w:p w14:paraId="2490A30D" w14:textId="77777777" w:rsidR="000A55D7" w:rsidRDefault="006A246B">
      <w:pPr>
        <w:spacing w:after="0" w:line="259" w:lineRule="auto"/>
        <w:ind w:left="0" w:right="96" w:firstLine="0"/>
        <w:jc w:val="center"/>
      </w:pPr>
      <w:r>
        <w:t xml:space="preserve"> </w:t>
      </w:r>
    </w:p>
    <w:p w14:paraId="3A4778CA" w14:textId="603159C9" w:rsidR="000A55D7" w:rsidRDefault="006A246B" w:rsidP="009A4537">
      <w:pPr>
        <w:spacing w:after="0" w:line="259" w:lineRule="auto"/>
        <w:ind w:right="157"/>
        <w:jc w:val="center"/>
      </w:pPr>
      <w:r w:rsidRPr="000B2ABF">
        <w:rPr>
          <w:b/>
        </w:rPr>
        <w:t>ACCOUNTS FOR THE YEAR ENDED 3</w:t>
      </w:r>
      <w:r w:rsidR="00D3408B" w:rsidRPr="000B2ABF">
        <w:rPr>
          <w:b/>
        </w:rPr>
        <w:t>1ST MARCH 202</w:t>
      </w:r>
      <w:r w:rsidR="004D228A">
        <w:rPr>
          <w:b/>
        </w:rPr>
        <w:t>3</w:t>
      </w:r>
    </w:p>
    <w:p w14:paraId="62F1BA71" w14:textId="4DDC5AF4" w:rsidR="000A55D7" w:rsidRDefault="000A55D7" w:rsidP="009A4537">
      <w:pPr>
        <w:spacing w:after="0" w:line="259" w:lineRule="auto"/>
        <w:ind w:left="0" w:right="96" w:firstLine="0"/>
        <w:jc w:val="center"/>
      </w:pPr>
    </w:p>
    <w:p w14:paraId="57DCEAA2" w14:textId="77777777" w:rsidR="00C937F8" w:rsidRDefault="006A246B" w:rsidP="009A4537">
      <w:pPr>
        <w:pStyle w:val="Heading1"/>
        <w:ind w:right="154"/>
      </w:pPr>
      <w:r w:rsidRPr="00F138AF">
        <w:t xml:space="preserve">LOCAL AUDIT AND ACCOUNTABILITY ACT 2014 </w:t>
      </w:r>
    </w:p>
    <w:p w14:paraId="6E8A71D1" w14:textId="4B5D5D9B" w:rsidR="000A55D7" w:rsidRPr="00F138AF" w:rsidRDefault="006A246B" w:rsidP="009A4537">
      <w:pPr>
        <w:pStyle w:val="Heading1"/>
        <w:ind w:right="154"/>
      </w:pPr>
      <w:r w:rsidRPr="00F138AF">
        <w:t>ACCOUNTS AND AUDIT REGULATIONS 2015</w:t>
      </w:r>
    </w:p>
    <w:p w14:paraId="13C837C7" w14:textId="77777777" w:rsidR="007677BB" w:rsidRPr="00F138AF" w:rsidRDefault="007677BB" w:rsidP="007677BB"/>
    <w:p w14:paraId="503D46ED" w14:textId="256DB02E" w:rsidR="000A55D7" w:rsidRDefault="006A246B" w:rsidP="009A4537">
      <w:pPr>
        <w:spacing w:after="8"/>
        <w:ind w:left="-15" w:firstLine="0"/>
        <w:jc w:val="center"/>
      </w:pPr>
      <w:r w:rsidRPr="00F138AF">
        <w:rPr>
          <w:b/>
        </w:rPr>
        <w:t>ACCOUNTS AND AUDIT (AMENDMENT) REGULATIONS 202</w:t>
      </w:r>
      <w:r w:rsidR="00F138AF" w:rsidRPr="00F138AF">
        <w:rPr>
          <w:b/>
        </w:rPr>
        <w:t>2</w:t>
      </w:r>
    </w:p>
    <w:p w14:paraId="59D6D06E" w14:textId="77777777" w:rsidR="000A55D7" w:rsidRDefault="006A246B">
      <w:pPr>
        <w:spacing w:after="0" w:line="259" w:lineRule="auto"/>
        <w:ind w:left="0" w:firstLine="0"/>
        <w:jc w:val="left"/>
      </w:pPr>
      <w:r>
        <w:t xml:space="preserve"> </w:t>
      </w:r>
    </w:p>
    <w:p w14:paraId="5E10AB34" w14:textId="28E04B0B" w:rsidR="00760156" w:rsidRPr="00807F41" w:rsidRDefault="00760156" w:rsidP="00760156">
      <w:pPr>
        <w:autoSpaceDE w:val="0"/>
        <w:autoSpaceDN w:val="0"/>
        <w:adjustRightInd w:val="0"/>
        <w:rPr>
          <w:bCs/>
          <w:szCs w:val="24"/>
        </w:rPr>
      </w:pPr>
      <w:r w:rsidRPr="00F138AF">
        <w:rPr>
          <w:bCs/>
          <w:szCs w:val="24"/>
        </w:rPr>
        <w:t xml:space="preserve">Under </w:t>
      </w:r>
      <w:r w:rsidR="00EA6290">
        <w:rPr>
          <w:bCs/>
          <w:szCs w:val="24"/>
        </w:rPr>
        <w:t>Regulation</w:t>
      </w:r>
      <w:r w:rsidRPr="00F138AF">
        <w:rPr>
          <w:bCs/>
          <w:szCs w:val="24"/>
        </w:rPr>
        <w:t xml:space="preserve"> 10</w:t>
      </w:r>
      <w:r w:rsidR="00EA6290">
        <w:rPr>
          <w:bCs/>
          <w:szCs w:val="24"/>
        </w:rPr>
        <w:t xml:space="preserve"> paragraph </w:t>
      </w:r>
      <w:r w:rsidRPr="00F138AF">
        <w:rPr>
          <w:bCs/>
          <w:szCs w:val="24"/>
        </w:rPr>
        <w:t>(1)</w:t>
      </w:r>
      <w:r w:rsidR="00C937F8">
        <w:rPr>
          <w:bCs/>
          <w:szCs w:val="24"/>
        </w:rPr>
        <w:t>(a)</w:t>
      </w:r>
      <w:r w:rsidRPr="00F138AF">
        <w:rPr>
          <w:bCs/>
          <w:szCs w:val="24"/>
        </w:rPr>
        <w:t xml:space="preserve"> of The Accounts and Audit Regulations 2015, the Fire Authority must publish its Statement of Accounts together with any certificate or opinion, entered by the local auditor in accordance wi</w:t>
      </w:r>
      <w:r w:rsidR="007C6026" w:rsidRPr="00F138AF">
        <w:rPr>
          <w:bCs/>
          <w:szCs w:val="24"/>
        </w:rPr>
        <w:t>th section 20(2) of the Act, by</w:t>
      </w:r>
      <w:r w:rsidR="007C6026" w:rsidRPr="00F138AF">
        <w:rPr>
          <w:rFonts w:eastAsia="Calibri"/>
          <w:bCs/>
          <w:color w:val="auto"/>
          <w:szCs w:val="24"/>
        </w:rPr>
        <w:t xml:space="preserve"> 31 July. </w:t>
      </w:r>
      <w:r w:rsidR="007C6026" w:rsidRPr="00F138AF">
        <w:rPr>
          <w:bCs/>
          <w:szCs w:val="24"/>
        </w:rPr>
        <w:t xml:space="preserve">The Accounts and Audit (Amendment) Regulations </w:t>
      </w:r>
      <w:r w:rsidR="007677BB" w:rsidRPr="00F138AF">
        <w:rPr>
          <w:bCs/>
          <w:szCs w:val="24"/>
        </w:rPr>
        <w:t>202</w:t>
      </w:r>
      <w:r w:rsidR="00F138AF" w:rsidRPr="00F138AF">
        <w:rPr>
          <w:bCs/>
          <w:szCs w:val="24"/>
        </w:rPr>
        <w:t>2</w:t>
      </w:r>
      <w:r w:rsidR="007677BB" w:rsidRPr="00F138AF">
        <w:rPr>
          <w:bCs/>
          <w:szCs w:val="24"/>
        </w:rPr>
        <w:t xml:space="preserve"> </w:t>
      </w:r>
      <w:r w:rsidR="007C6026" w:rsidRPr="00F138AF">
        <w:rPr>
          <w:bCs/>
          <w:szCs w:val="24"/>
        </w:rPr>
        <w:t xml:space="preserve">changed this date to </w:t>
      </w:r>
      <w:r w:rsidRPr="00F138AF">
        <w:rPr>
          <w:bCs/>
          <w:szCs w:val="24"/>
        </w:rPr>
        <w:t>30</w:t>
      </w:r>
      <w:r w:rsidRPr="00F138AF">
        <w:rPr>
          <w:bCs/>
          <w:szCs w:val="24"/>
          <w:vertAlign w:val="superscript"/>
        </w:rPr>
        <w:t>th</w:t>
      </w:r>
      <w:r w:rsidRPr="00F138AF">
        <w:rPr>
          <w:bCs/>
          <w:szCs w:val="24"/>
        </w:rPr>
        <w:t xml:space="preserve"> September</w:t>
      </w:r>
      <w:r w:rsidR="007C6026" w:rsidRPr="00F138AF">
        <w:rPr>
          <w:bCs/>
          <w:szCs w:val="24"/>
        </w:rPr>
        <w:t>.</w:t>
      </w:r>
      <w:r w:rsidR="00E67CE7">
        <w:rPr>
          <w:bCs/>
          <w:szCs w:val="24"/>
        </w:rPr>
        <w:t xml:space="preserve"> </w:t>
      </w:r>
    </w:p>
    <w:p w14:paraId="4084DBA2" w14:textId="77777777" w:rsidR="00760156" w:rsidRPr="00807F41" w:rsidRDefault="00760156" w:rsidP="00760156">
      <w:pPr>
        <w:autoSpaceDE w:val="0"/>
        <w:autoSpaceDN w:val="0"/>
        <w:adjustRightInd w:val="0"/>
        <w:rPr>
          <w:bCs/>
          <w:szCs w:val="24"/>
        </w:rPr>
      </w:pPr>
    </w:p>
    <w:p w14:paraId="539A660C" w14:textId="53FAA897" w:rsidR="007677BB" w:rsidRPr="007677BB" w:rsidRDefault="00760156" w:rsidP="007677BB">
      <w:pPr>
        <w:ind w:left="0"/>
        <w:rPr>
          <w:color w:val="1F2025"/>
          <w:shd w:val="clear" w:color="auto" w:fill="FFFFFF"/>
        </w:rPr>
      </w:pPr>
      <w:r w:rsidRPr="007677BB">
        <w:rPr>
          <w:bCs/>
          <w:szCs w:val="24"/>
        </w:rPr>
        <w:t>The external audit of the draft Statement of Accounts for the year ended 31 March 20</w:t>
      </w:r>
      <w:r w:rsidR="00A944F7" w:rsidRPr="007677BB">
        <w:rPr>
          <w:bCs/>
          <w:szCs w:val="24"/>
        </w:rPr>
        <w:t>2</w:t>
      </w:r>
      <w:r w:rsidR="004D228A">
        <w:rPr>
          <w:bCs/>
          <w:szCs w:val="24"/>
        </w:rPr>
        <w:t>3</w:t>
      </w:r>
      <w:r w:rsidRPr="007677BB">
        <w:rPr>
          <w:bCs/>
          <w:szCs w:val="24"/>
        </w:rPr>
        <w:t xml:space="preserve"> has not yet been </w:t>
      </w:r>
      <w:r w:rsidR="004D228A">
        <w:rPr>
          <w:bCs/>
          <w:szCs w:val="24"/>
        </w:rPr>
        <w:t>started</w:t>
      </w:r>
      <w:r w:rsidRPr="007677BB">
        <w:rPr>
          <w:bCs/>
          <w:szCs w:val="24"/>
        </w:rPr>
        <w:t xml:space="preserve"> b</w:t>
      </w:r>
      <w:r w:rsidR="00B61875" w:rsidRPr="007677BB">
        <w:rPr>
          <w:bCs/>
          <w:szCs w:val="24"/>
        </w:rPr>
        <w:t>y our external auditors, E</w:t>
      </w:r>
      <w:r w:rsidR="00656250">
        <w:rPr>
          <w:bCs/>
          <w:szCs w:val="24"/>
        </w:rPr>
        <w:t xml:space="preserve">rnst &amp; </w:t>
      </w:r>
      <w:r w:rsidR="00B61875" w:rsidRPr="007677BB">
        <w:rPr>
          <w:bCs/>
          <w:szCs w:val="24"/>
        </w:rPr>
        <w:t>Y</w:t>
      </w:r>
      <w:r w:rsidR="00656250">
        <w:rPr>
          <w:bCs/>
          <w:szCs w:val="24"/>
        </w:rPr>
        <w:t>oung (EY)</w:t>
      </w:r>
      <w:r w:rsidR="00B61875" w:rsidRPr="007677BB">
        <w:rPr>
          <w:bCs/>
          <w:szCs w:val="24"/>
        </w:rPr>
        <w:t xml:space="preserve"> LLP. </w:t>
      </w:r>
      <w:r w:rsidR="004D228A">
        <w:rPr>
          <w:bCs/>
          <w:szCs w:val="24"/>
        </w:rPr>
        <w:t>EY is awaiting the outcome of discussions being led by the Department for Levelling Up, Housing &amp; Communities</w:t>
      </w:r>
      <w:r w:rsidR="00544076">
        <w:rPr>
          <w:bCs/>
          <w:szCs w:val="24"/>
        </w:rPr>
        <w:t xml:space="preserve"> (DLUHC)</w:t>
      </w:r>
      <w:r w:rsidR="004D228A">
        <w:rPr>
          <w:bCs/>
          <w:szCs w:val="24"/>
        </w:rPr>
        <w:t xml:space="preserve"> to resolve a national backlog of audits of local authorities (including fire authorities).</w:t>
      </w:r>
    </w:p>
    <w:p w14:paraId="1BD63CD2" w14:textId="77777777" w:rsidR="00760156" w:rsidRPr="00807F41" w:rsidRDefault="00760156" w:rsidP="00A944F7">
      <w:pPr>
        <w:autoSpaceDE w:val="0"/>
        <w:autoSpaceDN w:val="0"/>
        <w:adjustRightInd w:val="0"/>
        <w:ind w:left="0" w:firstLine="0"/>
        <w:rPr>
          <w:bCs/>
          <w:szCs w:val="24"/>
        </w:rPr>
      </w:pPr>
    </w:p>
    <w:p w14:paraId="04E816F0" w14:textId="70265309" w:rsidR="00760156" w:rsidRPr="00F138AF" w:rsidRDefault="00760156" w:rsidP="00760156">
      <w:pPr>
        <w:autoSpaceDE w:val="0"/>
        <w:autoSpaceDN w:val="0"/>
        <w:adjustRightInd w:val="0"/>
        <w:rPr>
          <w:bCs/>
          <w:szCs w:val="24"/>
        </w:rPr>
      </w:pPr>
      <w:r w:rsidRPr="00F138AF">
        <w:rPr>
          <w:bCs/>
          <w:szCs w:val="24"/>
        </w:rPr>
        <w:t>This situation is allowed for by Regulation 10, paragraph (2</w:t>
      </w:r>
      <w:r w:rsidR="00EA6290">
        <w:rPr>
          <w:bCs/>
          <w:szCs w:val="24"/>
        </w:rPr>
        <w:t>)(</w:t>
      </w:r>
      <w:r w:rsidRPr="00F138AF">
        <w:rPr>
          <w:bCs/>
          <w:szCs w:val="24"/>
        </w:rPr>
        <w:t>a) of the Accounts and Audit Regulations 2015</w:t>
      </w:r>
      <w:r w:rsidR="007667C4" w:rsidRPr="00F138AF">
        <w:rPr>
          <w:bCs/>
          <w:szCs w:val="24"/>
        </w:rPr>
        <w:t xml:space="preserve"> and </w:t>
      </w:r>
      <w:r w:rsidR="00E85820" w:rsidRPr="00F138AF">
        <w:rPr>
          <w:bCs/>
          <w:szCs w:val="24"/>
        </w:rPr>
        <w:t xml:space="preserve">the Accounts and </w:t>
      </w:r>
      <w:r w:rsidR="007667C4" w:rsidRPr="00F138AF">
        <w:rPr>
          <w:bCs/>
          <w:szCs w:val="24"/>
        </w:rPr>
        <w:t>Audit (Amendment) Regulations 202</w:t>
      </w:r>
      <w:r w:rsidR="00F138AF" w:rsidRPr="00F138AF">
        <w:rPr>
          <w:bCs/>
          <w:szCs w:val="24"/>
        </w:rPr>
        <w:t>2</w:t>
      </w:r>
      <w:r w:rsidR="007677BB" w:rsidRPr="00F138AF">
        <w:rPr>
          <w:bCs/>
          <w:szCs w:val="24"/>
        </w:rPr>
        <w:t>.</w:t>
      </w:r>
    </w:p>
    <w:p w14:paraId="11C14E72" w14:textId="77777777" w:rsidR="007677BB" w:rsidRPr="00F138AF" w:rsidRDefault="007677BB" w:rsidP="00760156">
      <w:pPr>
        <w:autoSpaceDE w:val="0"/>
        <w:autoSpaceDN w:val="0"/>
        <w:adjustRightInd w:val="0"/>
        <w:rPr>
          <w:bCs/>
          <w:szCs w:val="24"/>
        </w:rPr>
      </w:pPr>
    </w:p>
    <w:p w14:paraId="56C4B613" w14:textId="77777777" w:rsidR="00760156" w:rsidRPr="00F138AF" w:rsidRDefault="00760156" w:rsidP="00760156">
      <w:pPr>
        <w:autoSpaceDE w:val="0"/>
        <w:autoSpaceDN w:val="0"/>
        <w:adjustRightInd w:val="0"/>
        <w:rPr>
          <w:bCs/>
          <w:szCs w:val="24"/>
        </w:rPr>
      </w:pPr>
      <w:r w:rsidRPr="00F138AF">
        <w:rPr>
          <w:bCs/>
          <w:szCs w:val="24"/>
        </w:rPr>
        <w:t>(</w:t>
      </w:r>
      <w:hyperlink r:id="rId16" w:history="1">
        <w:r w:rsidRPr="00F138AF">
          <w:rPr>
            <w:rStyle w:val="Hyperlink"/>
            <w:bCs/>
            <w:szCs w:val="24"/>
          </w:rPr>
          <w:t>http://www.legislation.gov.uk/uksi/2015/234/regulation/10/made</w:t>
        </w:r>
      </w:hyperlink>
      <w:r w:rsidRPr="00F138AF">
        <w:rPr>
          <w:bCs/>
          <w:szCs w:val="24"/>
        </w:rPr>
        <w:t>).</w:t>
      </w:r>
    </w:p>
    <w:p w14:paraId="5F0F8182" w14:textId="77777777" w:rsidR="00886F73" w:rsidRPr="004D228A" w:rsidRDefault="00886F73" w:rsidP="00760156">
      <w:pPr>
        <w:autoSpaceDE w:val="0"/>
        <w:autoSpaceDN w:val="0"/>
        <w:adjustRightInd w:val="0"/>
        <w:rPr>
          <w:bCs/>
          <w:szCs w:val="24"/>
          <w:highlight w:val="yellow"/>
        </w:rPr>
      </w:pPr>
    </w:p>
    <w:p w14:paraId="6715A13C" w14:textId="0BF6918C" w:rsidR="00886F73" w:rsidRDefault="00EA6290" w:rsidP="00886F73">
      <w:pPr>
        <w:ind w:left="-5"/>
      </w:pPr>
      <w:hyperlink r:id="rId17" w:history="1">
        <w:r w:rsidR="00F138AF" w:rsidRPr="00F138AF">
          <w:rPr>
            <w:rStyle w:val="Hyperlink"/>
          </w:rPr>
          <w:t>The Accounts and Audit (Amendment) Regulations 2022 (legislation.gov.uk)</w:t>
        </w:r>
      </w:hyperlink>
    </w:p>
    <w:p w14:paraId="5389DC48" w14:textId="77777777" w:rsidR="00760156" w:rsidRDefault="00760156" w:rsidP="00760156">
      <w:pPr>
        <w:autoSpaceDE w:val="0"/>
        <w:autoSpaceDN w:val="0"/>
        <w:adjustRightInd w:val="0"/>
        <w:rPr>
          <w:bCs/>
          <w:szCs w:val="24"/>
        </w:rPr>
      </w:pPr>
    </w:p>
    <w:p w14:paraId="6AD486C7" w14:textId="397A584A" w:rsidR="00760156" w:rsidRDefault="00760156" w:rsidP="00760156">
      <w:pPr>
        <w:autoSpaceDE w:val="0"/>
        <w:autoSpaceDN w:val="0"/>
        <w:adjustRightInd w:val="0"/>
        <w:rPr>
          <w:szCs w:val="24"/>
        </w:rPr>
      </w:pPr>
      <w:r w:rsidRPr="009369BD">
        <w:rPr>
          <w:bCs/>
          <w:szCs w:val="24"/>
        </w:rPr>
        <w:t>Therefore this notification explains, as per paragraph (2</w:t>
      </w:r>
      <w:r w:rsidR="00EA6290">
        <w:rPr>
          <w:bCs/>
          <w:szCs w:val="24"/>
        </w:rPr>
        <w:t>)(</w:t>
      </w:r>
      <w:r w:rsidRPr="009369BD">
        <w:rPr>
          <w:bCs/>
          <w:szCs w:val="24"/>
        </w:rPr>
        <w:t xml:space="preserve">a), that we are not yet able to publish our audited </w:t>
      </w:r>
      <w:r w:rsidR="00A944F7">
        <w:rPr>
          <w:bCs/>
          <w:szCs w:val="24"/>
        </w:rPr>
        <w:t>202</w:t>
      </w:r>
      <w:r w:rsidR="004D228A">
        <w:rPr>
          <w:bCs/>
          <w:szCs w:val="24"/>
        </w:rPr>
        <w:t>2</w:t>
      </w:r>
      <w:r w:rsidR="00A944F7">
        <w:rPr>
          <w:bCs/>
          <w:szCs w:val="24"/>
        </w:rPr>
        <w:t>/2</w:t>
      </w:r>
      <w:r w:rsidR="004D228A">
        <w:rPr>
          <w:bCs/>
          <w:szCs w:val="24"/>
        </w:rPr>
        <w:t>3</w:t>
      </w:r>
      <w:r w:rsidRPr="009369BD">
        <w:rPr>
          <w:bCs/>
          <w:szCs w:val="24"/>
        </w:rPr>
        <w:t xml:space="preserve"> </w:t>
      </w:r>
      <w:r w:rsidRPr="002C4174">
        <w:rPr>
          <w:bCs/>
          <w:szCs w:val="24"/>
        </w:rPr>
        <w:t xml:space="preserve">final statement of accounts in line with </w:t>
      </w:r>
      <w:r w:rsidR="00E85820" w:rsidRPr="002C4174">
        <w:rPr>
          <w:bCs/>
          <w:szCs w:val="24"/>
        </w:rPr>
        <w:t xml:space="preserve">the statutory </w:t>
      </w:r>
      <w:r w:rsidRPr="002C4174">
        <w:rPr>
          <w:bCs/>
          <w:szCs w:val="24"/>
        </w:rPr>
        <w:t>deadline of 3</w:t>
      </w:r>
      <w:r w:rsidR="00A944F7" w:rsidRPr="002C4174">
        <w:rPr>
          <w:bCs/>
          <w:szCs w:val="24"/>
        </w:rPr>
        <w:t>0</w:t>
      </w:r>
      <w:r w:rsidR="00A944F7" w:rsidRPr="002C4174">
        <w:rPr>
          <w:bCs/>
          <w:szCs w:val="24"/>
          <w:vertAlign w:val="superscript"/>
        </w:rPr>
        <w:t>th</w:t>
      </w:r>
      <w:r w:rsidR="00A944F7" w:rsidRPr="002C4174">
        <w:rPr>
          <w:bCs/>
          <w:szCs w:val="24"/>
        </w:rPr>
        <w:t xml:space="preserve"> September 202</w:t>
      </w:r>
      <w:r w:rsidR="004D228A">
        <w:rPr>
          <w:bCs/>
          <w:szCs w:val="24"/>
        </w:rPr>
        <w:t>3</w:t>
      </w:r>
      <w:r w:rsidRPr="002C4174">
        <w:rPr>
          <w:bCs/>
          <w:szCs w:val="24"/>
        </w:rPr>
        <w:t>, as per paragraph (1).</w:t>
      </w:r>
      <w:r w:rsidRPr="009369BD">
        <w:rPr>
          <w:bCs/>
          <w:szCs w:val="24"/>
        </w:rPr>
        <w:t xml:space="preserve"> </w:t>
      </w:r>
      <w:r w:rsidR="004D228A">
        <w:rPr>
          <w:bCs/>
          <w:szCs w:val="24"/>
        </w:rPr>
        <w:t>U</w:t>
      </w:r>
      <w:r w:rsidRPr="002C4174">
        <w:rPr>
          <w:szCs w:val="24"/>
        </w:rPr>
        <w:t xml:space="preserve">naudited </w:t>
      </w:r>
      <w:r w:rsidR="004D228A">
        <w:rPr>
          <w:szCs w:val="24"/>
        </w:rPr>
        <w:t xml:space="preserve">draft </w:t>
      </w:r>
      <w:r w:rsidRPr="002C4174">
        <w:rPr>
          <w:szCs w:val="24"/>
        </w:rPr>
        <w:t xml:space="preserve">accounts </w:t>
      </w:r>
      <w:r w:rsidR="004D228A">
        <w:rPr>
          <w:szCs w:val="24"/>
        </w:rPr>
        <w:t>were</w:t>
      </w:r>
      <w:r w:rsidRPr="002C4174">
        <w:rPr>
          <w:szCs w:val="24"/>
        </w:rPr>
        <w:t xml:space="preserve"> published on our website </w:t>
      </w:r>
      <w:r w:rsidR="004D228A">
        <w:rPr>
          <w:szCs w:val="24"/>
        </w:rPr>
        <w:t>on 31 May 2023 and remain available</w:t>
      </w:r>
      <w:r w:rsidRPr="002C4174">
        <w:rPr>
          <w:szCs w:val="24"/>
        </w:rPr>
        <w:t xml:space="preserve"> at:</w:t>
      </w:r>
    </w:p>
    <w:p w14:paraId="0E2B5CC8" w14:textId="77777777" w:rsidR="007667C4" w:rsidRDefault="007667C4" w:rsidP="007667C4">
      <w:pPr>
        <w:autoSpaceDE w:val="0"/>
        <w:autoSpaceDN w:val="0"/>
        <w:adjustRightInd w:val="0"/>
        <w:ind w:left="0" w:firstLine="0"/>
      </w:pPr>
    </w:p>
    <w:p w14:paraId="76436B36" w14:textId="77777777" w:rsidR="00760156" w:rsidRDefault="00EA6290" w:rsidP="007667C4">
      <w:pPr>
        <w:autoSpaceDE w:val="0"/>
        <w:autoSpaceDN w:val="0"/>
        <w:adjustRightInd w:val="0"/>
        <w:ind w:left="0" w:firstLine="0"/>
        <w:rPr>
          <w:szCs w:val="24"/>
        </w:rPr>
      </w:pPr>
      <w:hyperlink r:id="rId18" w:history="1">
        <w:r w:rsidR="00760156" w:rsidRPr="00F138AF">
          <w:rPr>
            <w:rStyle w:val="Hyperlink"/>
          </w:rPr>
          <w:t>https://www.esfrs.org/about-us/publication-of-information/financial-information/</w:t>
        </w:r>
      </w:hyperlink>
    </w:p>
    <w:p w14:paraId="1374FE9D" w14:textId="77777777" w:rsidR="00760156" w:rsidRPr="0045107C" w:rsidRDefault="00760156" w:rsidP="00760156">
      <w:pPr>
        <w:autoSpaceDE w:val="0"/>
        <w:autoSpaceDN w:val="0"/>
        <w:adjustRightInd w:val="0"/>
        <w:rPr>
          <w:szCs w:val="24"/>
        </w:rPr>
      </w:pPr>
    </w:p>
    <w:p w14:paraId="3D6DFACA" w14:textId="50DE46DA" w:rsidR="009A4537" w:rsidRDefault="00EA6290" w:rsidP="001D3F53">
      <w:pPr>
        <w:ind w:left="0" w:right="138" w:firstLine="0"/>
        <w:rPr>
          <w:color w:val="1F2025"/>
          <w:shd w:val="clear" w:color="auto" w:fill="FFFFFF"/>
        </w:rPr>
      </w:pPr>
      <w:r>
        <w:rPr>
          <w:color w:val="1F2025"/>
          <w:shd w:val="clear" w:color="auto" w:fill="FFFFFF"/>
        </w:rPr>
        <w:t>Our a</w:t>
      </w:r>
      <w:r w:rsidR="00F138AF">
        <w:rPr>
          <w:color w:val="1F2025"/>
          <w:shd w:val="clear" w:color="auto" w:fill="FFFFFF"/>
        </w:rPr>
        <w:t>udited fina</w:t>
      </w:r>
      <w:r>
        <w:rPr>
          <w:color w:val="1F2025"/>
          <w:shd w:val="clear" w:color="auto" w:fill="FFFFFF"/>
        </w:rPr>
        <w:t>l statement of</w:t>
      </w:r>
      <w:r w:rsidR="00F138AF">
        <w:rPr>
          <w:color w:val="1F2025"/>
          <w:shd w:val="clear" w:color="auto" w:fill="FFFFFF"/>
        </w:rPr>
        <w:t xml:space="preserve"> accounts for 2022/23 will published as soon as reasonably practical after the conclusion of the audit and receipt of EY’s Audit Results Report.</w:t>
      </w:r>
    </w:p>
    <w:p w14:paraId="21E2EFB9" w14:textId="77777777" w:rsidR="00F138AF" w:rsidRPr="001D3F53" w:rsidRDefault="00F138AF" w:rsidP="001D3F53">
      <w:pPr>
        <w:ind w:left="0" w:right="138" w:firstLine="0"/>
        <w:rPr>
          <w:color w:val="1F2025"/>
          <w:shd w:val="clear" w:color="auto" w:fill="FFFFFF"/>
        </w:rPr>
      </w:pPr>
    </w:p>
    <w:p w14:paraId="0E3B9143" w14:textId="77777777" w:rsidR="000A55D7" w:rsidRDefault="006A246B">
      <w:pPr>
        <w:ind w:left="-5" w:right="138"/>
      </w:pPr>
      <w:r>
        <w:t xml:space="preserve">Duncan Savage, </w:t>
      </w:r>
    </w:p>
    <w:p w14:paraId="1E406E0A" w14:textId="77777777" w:rsidR="000A55D7" w:rsidRDefault="006A246B">
      <w:pPr>
        <w:ind w:left="-5" w:right="138"/>
      </w:pPr>
      <w:r>
        <w:t xml:space="preserve">Treasurer </w:t>
      </w:r>
    </w:p>
    <w:p w14:paraId="28CA400A" w14:textId="77777777" w:rsidR="000A55D7" w:rsidRDefault="006A246B">
      <w:pPr>
        <w:ind w:left="-5" w:right="138"/>
      </w:pPr>
      <w:r>
        <w:t xml:space="preserve">East Sussex Fire Authority, </w:t>
      </w:r>
    </w:p>
    <w:p w14:paraId="72078144" w14:textId="77777777" w:rsidR="000A55D7" w:rsidRDefault="006A246B">
      <w:pPr>
        <w:ind w:left="-5" w:right="138"/>
      </w:pPr>
      <w:r>
        <w:t xml:space="preserve">East Sussex Fire and Rescue Service Headquarters </w:t>
      </w:r>
    </w:p>
    <w:p w14:paraId="24F71267" w14:textId="77777777" w:rsidR="000A55D7" w:rsidRDefault="006A246B">
      <w:pPr>
        <w:ind w:left="-5" w:right="138"/>
      </w:pPr>
      <w:r>
        <w:t xml:space="preserve">Church Lane </w:t>
      </w:r>
    </w:p>
    <w:p w14:paraId="3589C745" w14:textId="77777777" w:rsidR="000A55D7" w:rsidRDefault="006A246B">
      <w:pPr>
        <w:ind w:left="-5" w:right="138"/>
      </w:pPr>
      <w:r>
        <w:t xml:space="preserve">Lewes </w:t>
      </w:r>
    </w:p>
    <w:p w14:paraId="01AE7158" w14:textId="77777777" w:rsidR="000A55D7" w:rsidRDefault="006A246B">
      <w:pPr>
        <w:ind w:left="-5" w:right="138"/>
      </w:pPr>
      <w:r>
        <w:t xml:space="preserve">East Sussex </w:t>
      </w:r>
    </w:p>
    <w:p w14:paraId="1C3EF731" w14:textId="77777777" w:rsidR="000A55D7" w:rsidRDefault="006A246B">
      <w:pPr>
        <w:ind w:left="-5" w:right="138"/>
      </w:pPr>
      <w:r>
        <w:t xml:space="preserve">BN7 2DZ </w:t>
      </w:r>
    </w:p>
    <w:p w14:paraId="369DCB73" w14:textId="77777777" w:rsidR="000A55D7" w:rsidRDefault="006A246B">
      <w:pPr>
        <w:spacing w:after="0" w:line="259" w:lineRule="auto"/>
        <w:ind w:left="0" w:firstLine="0"/>
        <w:jc w:val="left"/>
      </w:pPr>
      <w:r>
        <w:t xml:space="preserve"> </w:t>
      </w:r>
    </w:p>
    <w:p w14:paraId="5E92D18B" w14:textId="77777777" w:rsidR="000A55D7" w:rsidRDefault="006A246B">
      <w:pPr>
        <w:spacing w:after="0" w:line="259" w:lineRule="auto"/>
        <w:ind w:left="-5"/>
        <w:jc w:val="left"/>
      </w:pPr>
      <w:r>
        <w:t xml:space="preserve">Email: </w:t>
      </w:r>
      <w:r>
        <w:rPr>
          <w:color w:val="0563C1"/>
          <w:u w:val="single" w:color="0563C1"/>
        </w:rPr>
        <w:t>duncan.savage@esfrs.org</w:t>
      </w:r>
      <w:r>
        <w:t xml:space="preserve"> </w:t>
      </w:r>
    </w:p>
    <w:p w14:paraId="417DA85F" w14:textId="77777777" w:rsidR="000A55D7" w:rsidRDefault="006A246B">
      <w:pPr>
        <w:spacing w:after="0" w:line="259" w:lineRule="auto"/>
        <w:ind w:left="0" w:firstLine="0"/>
        <w:jc w:val="left"/>
      </w:pPr>
      <w:r>
        <w:t xml:space="preserve"> </w:t>
      </w:r>
    </w:p>
    <w:p w14:paraId="1C7B4704" w14:textId="77777777" w:rsidR="000A55D7" w:rsidRDefault="000A55D7">
      <w:pPr>
        <w:spacing w:after="150" w:line="259" w:lineRule="auto"/>
        <w:ind w:left="0" w:firstLine="0"/>
        <w:jc w:val="left"/>
      </w:pPr>
    </w:p>
    <w:p w14:paraId="40601C6D" w14:textId="77777777" w:rsidR="000A55D7" w:rsidRDefault="006A246B">
      <w:pPr>
        <w:spacing w:after="151" w:line="259" w:lineRule="auto"/>
        <w:ind w:left="0" w:firstLine="0"/>
        <w:jc w:val="left"/>
      </w:pPr>
      <w:r>
        <w:t xml:space="preserve"> </w:t>
      </w:r>
    </w:p>
    <w:p w14:paraId="422F4F60" w14:textId="77777777" w:rsidR="000A55D7" w:rsidRDefault="006A246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0A55D7">
      <w:pgSz w:w="11904" w:h="16832"/>
      <w:pgMar w:top="1144" w:right="1279" w:bottom="1696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668C8"/>
    <w:multiLevelType w:val="hybridMultilevel"/>
    <w:tmpl w:val="C610D398"/>
    <w:lvl w:ilvl="0" w:tplc="4CEE9B4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D7213"/>
    <w:multiLevelType w:val="hybridMultilevel"/>
    <w:tmpl w:val="1E7CBC72"/>
    <w:lvl w:ilvl="0" w:tplc="0809000F">
      <w:start w:val="1"/>
      <w:numFmt w:val="decimal"/>
      <w:lvlText w:val="%1.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790A42EF"/>
    <w:multiLevelType w:val="hybridMultilevel"/>
    <w:tmpl w:val="02C48DFA"/>
    <w:lvl w:ilvl="0" w:tplc="1EFE7A96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ACD1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A78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E8F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C4D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FE8A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CBD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48A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FC9B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F3169A"/>
    <w:multiLevelType w:val="hybridMultilevel"/>
    <w:tmpl w:val="7C2AD386"/>
    <w:lvl w:ilvl="0" w:tplc="40DEF7B8">
      <w:start w:val="2"/>
      <w:numFmt w:val="decimal"/>
      <w:lvlText w:val="%1."/>
      <w:lvlJc w:val="left"/>
      <w:pPr>
        <w:ind w:left="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EAC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E00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45B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0EA8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8DF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63A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2E4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0F9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2882980">
    <w:abstractNumId w:val="2"/>
  </w:num>
  <w:num w:numId="2" w16cid:durableId="1876233581">
    <w:abstractNumId w:val="3"/>
  </w:num>
  <w:num w:numId="3" w16cid:durableId="1033189148">
    <w:abstractNumId w:val="0"/>
  </w:num>
  <w:num w:numId="4" w16cid:durableId="846208970">
    <w:abstractNumId w:val="0"/>
  </w:num>
  <w:num w:numId="5" w16cid:durableId="316308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5D7"/>
    <w:rsid w:val="00022F2D"/>
    <w:rsid w:val="00041625"/>
    <w:rsid w:val="00084541"/>
    <w:rsid w:val="00092B7F"/>
    <w:rsid w:val="000A55D7"/>
    <w:rsid w:val="000B2ABF"/>
    <w:rsid w:val="001D3F53"/>
    <w:rsid w:val="002C4174"/>
    <w:rsid w:val="003503E0"/>
    <w:rsid w:val="003A4290"/>
    <w:rsid w:val="003A69D4"/>
    <w:rsid w:val="00404D61"/>
    <w:rsid w:val="00476242"/>
    <w:rsid w:val="004902BD"/>
    <w:rsid w:val="004A15C0"/>
    <w:rsid w:val="004D228A"/>
    <w:rsid w:val="00544076"/>
    <w:rsid w:val="00600850"/>
    <w:rsid w:val="00656250"/>
    <w:rsid w:val="006A246B"/>
    <w:rsid w:val="006D5590"/>
    <w:rsid w:val="00760156"/>
    <w:rsid w:val="007667C4"/>
    <w:rsid w:val="007677BB"/>
    <w:rsid w:val="007C6026"/>
    <w:rsid w:val="008230ED"/>
    <w:rsid w:val="008252E6"/>
    <w:rsid w:val="00886F73"/>
    <w:rsid w:val="008E7C92"/>
    <w:rsid w:val="009A4537"/>
    <w:rsid w:val="00A32813"/>
    <w:rsid w:val="00A944F7"/>
    <w:rsid w:val="00B07DF8"/>
    <w:rsid w:val="00B61875"/>
    <w:rsid w:val="00C4146B"/>
    <w:rsid w:val="00C937F8"/>
    <w:rsid w:val="00D3408B"/>
    <w:rsid w:val="00D525D4"/>
    <w:rsid w:val="00D52F08"/>
    <w:rsid w:val="00D57288"/>
    <w:rsid w:val="00E02ED9"/>
    <w:rsid w:val="00E67CE7"/>
    <w:rsid w:val="00E85820"/>
    <w:rsid w:val="00EA6290"/>
    <w:rsid w:val="00F138AF"/>
    <w:rsid w:val="00F1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31C8"/>
  <w15:docId w15:val="{F5033C31-7DD6-4FFC-978E-D40F73D4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F1568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92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0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2BD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2BD"/>
    <w:rPr>
      <w:rFonts w:ascii="Arial" w:eastAsia="Arial" w:hAnsi="Arial" w:cs="Arial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503E0"/>
    <w:pPr>
      <w:spacing w:after="0" w:line="240" w:lineRule="auto"/>
      <w:ind w:left="720" w:firstLine="0"/>
      <w:jc w:val="left"/>
    </w:pPr>
    <w:rPr>
      <w:rFonts w:ascii="Calibri" w:eastAsiaTheme="minorHAnsi" w:hAnsi="Calibri" w:cs="Times New Roman"/>
      <w:color w:val="auto"/>
      <w:sz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67CE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8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37F8"/>
    <w:pPr>
      <w:spacing w:after="0" w:line="240" w:lineRule="auto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frs.org/about-us/publication-of-information/financial-information/" TargetMode="External"/><Relationship Id="rId13" Type="http://schemas.openxmlformats.org/officeDocument/2006/relationships/hyperlink" Target="https://www.esfrs.org/about-us/publication-of-information/financial-information/" TargetMode="External"/><Relationship Id="rId18" Type="http://schemas.openxmlformats.org/officeDocument/2006/relationships/hyperlink" Target="https://www.esfrs.org/about-us/publication-of-information/financial-inform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frs.org/about-us/publication-of-information/financial-information/" TargetMode="External"/><Relationship Id="rId12" Type="http://schemas.openxmlformats.org/officeDocument/2006/relationships/hyperlink" Target="https://www.esfrs.org/about-us/publication-of-information/financial-information/" TargetMode="External"/><Relationship Id="rId17" Type="http://schemas.openxmlformats.org/officeDocument/2006/relationships/hyperlink" Target="https://www.legislation.gov.uk/uksi/2022/708/mad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gislation.gov.uk/uksi/2015/234/regulation/10/mad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sfrs.org/about-us/publication-of-information/financial-information/" TargetMode="External"/><Relationship Id="rId11" Type="http://schemas.openxmlformats.org/officeDocument/2006/relationships/hyperlink" Target="https://www.esfrs.org/about-us/publication-of-information/financial-information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esfrs.org/about-us/publication-of-information/financial-information/" TargetMode="External"/><Relationship Id="rId10" Type="http://schemas.openxmlformats.org/officeDocument/2006/relationships/hyperlink" Target="https://www.esfrs.org/about-us/publication-of-information/financial-informatio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sfrs.org/about-us/publication-of-information/financial-information/" TargetMode="External"/><Relationship Id="rId14" Type="http://schemas.openxmlformats.org/officeDocument/2006/relationships/hyperlink" Target="https://www.esfrs.org/about-us/publication-of-information/financial-infor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Parmjeet Jassal</dc:creator>
  <cp:keywords/>
  <cp:lastModifiedBy>Duncan Savage</cp:lastModifiedBy>
  <cp:revision>4</cp:revision>
  <dcterms:created xsi:type="dcterms:W3CDTF">2023-09-15T10:25:00Z</dcterms:created>
  <dcterms:modified xsi:type="dcterms:W3CDTF">2023-09-18T08:25:00Z</dcterms:modified>
</cp:coreProperties>
</file>